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B576D" w14:textId="286BFA37" w:rsidR="00054CCF" w:rsidRDefault="00054CCF">
      <w:pPr>
        <w:pStyle w:val="BodyText"/>
        <w:spacing w:before="6"/>
        <w:rPr>
          <w:sz w:val="18"/>
        </w:rPr>
      </w:pPr>
    </w:p>
    <w:p w14:paraId="4F9EF36B" w14:textId="77777777" w:rsidR="00734DBA" w:rsidRDefault="00734DBA">
      <w:pPr>
        <w:pStyle w:val="BodyText"/>
        <w:spacing w:before="235"/>
        <w:ind w:left="1332" w:right="1096"/>
        <w:jc w:val="center"/>
        <w:rPr>
          <w:noProof/>
          <w:lang w:val="en-IE" w:eastAsia="en-IE"/>
        </w:rPr>
      </w:pPr>
    </w:p>
    <w:p w14:paraId="5323AC45" w14:textId="24A1008D" w:rsidR="00DC0CAF" w:rsidRDefault="00734DBA" w:rsidP="00734DBA">
      <w:pPr>
        <w:pStyle w:val="BodyText"/>
        <w:spacing w:before="235"/>
        <w:ind w:right="1096"/>
        <w:jc w:val="center"/>
        <w:rPr>
          <w:rFonts w:ascii="Times New Roman" w:hAnsi="Times New Roman" w:cs="Times New Roman"/>
        </w:rPr>
      </w:pPr>
      <w:r>
        <w:rPr>
          <w:noProof/>
          <w:lang w:val="en-IE" w:eastAsia="en-IE"/>
        </w:rPr>
        <w:drawing>
          <wp:inline distT="0" distB="0" distL="0" distR="0" wp14:anchorId="150C7DD9" wp14:editId="5B327E82">
            <wp:extent cx="6018923" cy="34480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3959" cy="346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880E1" w14:textId="77777777" w:rsidR="00734DBA" w:rsidRDefault="00734DBA">
      <w:pPr>
        <w:pStyle w:val="BodyText"/>
        <w:spacing w:before="235"/>
        <w:ind w:left="1332" w:right="1096"/>
        <w:jc w:val="center"/>
        <w:rPr>
          <w:rFonts w:ascii="Times New Roman" w:hAnsi="Times New Roman" w:cs="Times New Roman"/>
        </w:rPr>
      </w:pPr>
    </w:p>
    <w:p w14:paraId="2C6B576E" w14:textId="3B2C348B" w:rsidR="00054CCF" w:rsidRPr="00DC0CAF" w:rsidRDefault="007D643D">
      <w:pPr>
        <w:pStyle w:val="BodyText"/>
        <w:spacing w:before="235"/>
        <w:ind w:left="1332" w:right="1096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C0CAF">
        <w:rPr>
          <w:rFonts w:ascii="Times New Roman" w:hAnsi="Times New Roman" w:cs="Times New Roman"/>
        </w:rPr>
        <w:t>Module</w:t>
      </w:r>
      <w:r w:rsidRPr="00DC0CAF">
        <w:rPr>
          <w:rFonts w:ascii="Times New Roman" w:hAnsi="Times New Roman" w:cs="Times New Roman"/>
          <w:spacing w:val="-11"/>
        </w:rPr>
        <w:t xml:space="preserve"> </w:t>
      </w:r>
      <w:r w:rsidR="00DC0CAF" w:rsidRPr="00DC0CAF">
        <w:rPr>
          <w:rFonts w:ascii="Times New Roman" w:hAnsi="Times New Roman" w:cs="Times New Roman"/>
          <w:spacing w:val="-2"/>
        </w:rPr>
        <w:t>Descriptors</w:t>
      </w:r>
    </w:p>
    <w:p w14:paraId="2C6B5771" w14:textId="77777777" w:rsidR="00054CCF" w:rsidRDefault="00054CCF">
      <w:pPr>
        <w:pStyle w:val="BodyText"/>
        <w:spacing w:before="7"/>
        <w:rPr>
          <w:sz w:val="23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0"/>
        <w:gridCol w:w="4325"/>
      </w:tblGrid>
      <w:tr w:rsidR="00054CCF" w14:paraId="2C6B5779" w14:textId="77777777">
        <w:trPr>
          <w:trHeight w:val="6623"/>
        </w:trPr>
        <w:tc>
          <w:tcPr>
            <w:tcW w:w="4210" w:type="dxa"/>
          </w:tcPr>
          <w:p w14:paraId="2C6B5772" w14:textId="77777777" w:rsidR="00054CCF" w:rsidRDefault="007D64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HRM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ECTS)</w:t>
            </w:r>
          </w:p>
          <w:p w14:paraId="2C6B5773" w14:textId="77777777" w:rsidR="00054CCF" w:rsidRDefault="00054CCF">
            <w:pPr>
              <w:pStyle w:val="TableParagraph"/>
              <w:spacing w:before="2"/>
              <w:ind w:left="0"/>
              <w:rPr>
                <w:rFonts w:ascii="Calibri"/>
                <w:b/>
              </w:rPr>
            </w:pPr>
          </w:p>
          <w:p w14:paraId="2C6B5774" w14:textId="77777777" w:rsidR="00054CCF" w:rsidRDefault="007D643D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This module provides students with an in-depth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Resource Management (HRM) and its core theories and practices within the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The module has been designed to </w:t>
            </w:r>
            <w:proofErr w:type="spellStart"/>
            <w:r>
              <w:rPr>
                <w:sz w:val="24"/>
              </w:rPr>
              <w:t>recognise</w:t>
            </w:r>
            <w:proofErr w:type="spellEnd"/>
            <w:r>
              <w:rPr>
                <w:sz w:val="24"/>
              </w:rPr>
              <w:t xml:space="preserve"> the value that HR practitioners add in the pursuit</w:t>
            </w:r>
          </w:p>
          <w:p w14:paraId="2C6B5775" w14:textId="77777777" w:rsidR="00054CCF" w:rsidRDefault="007D643D">
            <w:pPr>
              <w:pStyle w:val="TableParagraph"/>
              <w:spacing w:before="1"/>
              <w:ind w:right="245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advantage and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z w:val="24"/>
              </w:rPr>
              <w:t xml:space="preserve"> sustainability and as such, in this module, students will develop knowledge of key HRM processes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 recruitment and selection of staff, performance and reward management, training and development and also in the complexity surrounding contemporary challenges and trends, including new and emerging leadership paradigms,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application of e-HR and sustainable HRM).</w:t>
            </w:r>
          </w:p>
        </w:tc>
        <w:tc>
          <w:tcPr>
            <w:tcW w:w="4325" w:type="dxa"/>
          </w:tcPr>
          <w:p w14:paraId="2C6B5776" w14:textId="7EADA372" w:rsidR="00054CCF" w:rsidRDefault="007D64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Employment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Relations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(10 </w:t>
            </w:r>
            <w:r w:rsidR="00734DBA">
              <w:rPr>
                <w:b/>
                <w:spacing w:val="-2"/>
                <w:sz w:val="24"/>
              </w:rPr>
              <w:t>ECT</w:t>
            </w:r>
            <w:r>
              <w:rPr>
                <w:b/>
                <w:spacing w:val="-2"/>
                <w:sz w:val="24"/>
              </w:rPr>
              <w:t>S)</w:t>
            </w:r>
          </w:p>
          <w:p w14:paraId="2C6B5777" w14:textId="77777777" w:rsidR="00054CCF" w:rsidRDefault="00054CCF">
            <w:pPr>
              <w:pStyle w:val="TableParagraph"/>
              <w:spacing w:before="1"/>
              <w:ind w:left="0"/>
              <w:rPr>
                <w:rFonts w:ascii="Calibri"/>
                <w:b/>
              </w:rPr>
            </w:pPr>
          </w:p>
          <w:p w14:paraId="2C6B5778" w14:textId="77777777" w:rsidR="00054CCF" w:rsidRDefault="007D643D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 xml:space="preserve">This module provides students with a comprehensive understanding of employment relations perspectives and debates, both national and international, from a theoretical and </w:t>
            </w:r>
            <w:proofErr w:type="spellStart"/>
            <w:r>
              <w:rPr>
                <w:sz w:val="24"/>
              </w:rPr>
              <w:t>behavioural</w:t>
            </w:r>
            <w:proofErr w:type="spellEnd"/>
            <w:r>
              <w:rPr>
                <w:sz w:val="24"/>
              </w:rPr>
              <w:t xml:space="preserve"> competency perspective. It does so with a critical perspective on the legal aspects of employment relations policy and practice. Through the module, learners will be able to assess the impact of employment law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on employment relations and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z w:val="24"/>
              </w:rPr>
              <w:t xml:space="preserve"> practice and gain insights into the creation and implementation of effective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procedures and policies.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 module requires students to reflect critically on theory and practice from an ethical and professional standpoint and provides opportunities for applied learning and continuous professional development.</w:t>
            </w:r>
          </w:p>
        </w:tc>
      </w:tr>
    </w:tbl>
    <w:p w14:paraId="2C6B577A" w14:textId="77777777" w:rsidR="00054CCF" w:rsidRDefault="00054CCF">
      <w:pPr>
        <w:rPr>
          <w:sz w:val="24"/>
        </w:rPr>
        <w:sectPr w:rsidR="00054CCF">
          <w:type w:val="continuous"/>
          <w:pgSz w:w="11910" w:h="16840"/>
          <w:pgMar w:top="1400" w:right="1560" w:bottom="280" w:left="13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0"/>
        <w:gridCol w:w="4325"/>
      </w:tblGrid>
      <w:tr w:rsidR="00054CCF" w14:paraId="2C6B5785" w14:textId="77777777">
        <w:trPr>
          <w:trHeight w:val="4415"/>
        </w:trPr>
        <w:tc>
          <w:tcPr>
            <w:tcW w:w="4210" w:type="dxa"/>
          </w:tcPr>
          <w:p w14:paraId="2C6B577B" w14:textId="52931A23" w:rsidR="00054CCF" w:rsidRDefault="007D64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Leading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Change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2"/>
                <w:sz w:val="24"/>
              </w:rPr>
              <w:t xml:space="preserve"> </w:t>
            </w:r>
            <w:r w:rsidR="00734DBA">
              <w:rPr>
                <w:b/>
                <w:sz w:val="24"/>
              </w:rPr>
              <w:t>Business Transformation (5 ECT</w:t>
            </w:r>
            <w:r>
              <w:rPr>
                <w:b/>
                <w:sz w:val="24"/>
              </w:rPr>
              <w:t>S)</w:t>
            </w:r>
          </w:p>
          <w:p w14:paraId="2C6B577C" w14:textId="77777777" w:rsidR="00054CCF" w:rsidRDefault="00054CCF">
            <w:pPr>
              <w:pStyle w:val="TableParagraph"/>
              <w:spacing w:before="1"/>
              <w:ind w:left="0"/>
              <w:rPr>
                <w:rFonts w:ascii="Calibri"/>
                <w:b/>
              </w:rPr>
            </w:pPr>
          </w:p>
          <w:p w14:paraId="2C6B577D" w14:textId="77777777" w:rsidR="00054CCF" w:rsidRDefault="007D643D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Focusing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level and on large-scale business</w:t>
            </w:r>
          </w:p>
          <w:p w14:paraId="2C6B577E" w14:textId="77777777" w:rsidR="00054CCF" w:rsidRDefault="007D643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transformation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addresses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the role of leadership in driving change and achieving sustainable business </w:t>
            </w:r>
            <w:r>
              <w:rPr>
                <w:spacing w:val="-2"/>
                <w:sz w:val="24"/>
              </w:rPr>
              <w:t>transformation.</w:t>
            </w:r>
          </w:p>
        </w:tc>
        <w:tc>
          <w:tcPr>
            <w:tcW w:w="4325" w:type="dxa"/>
          </w:tcPr>
          <w:p w14:paraId="2C6B577F" w14:textId="15585EFE" w:rsidR="00054CCF" w:rsidRDefault="007D64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Sustainable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HRM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734DBA">
              <w:rPr>
                <w:b/>
                <w:spacing w:val="-2"/>
                <w:sz w:val="24"/>
              </w:rPr>
              <w:t>ECT</w:t>
            </w:r>
            <w:r>
              <w:rPr>
                <w:b/>
                <w:spacing w:val="-2"/>
                <w:sz w:val="24"/>
              </w:rPr>
              <w:t>S)</w:t>
            </w:r>
          </w:p>
          <w:p w14:paraId="2C6B5780" w14:textId="77777777" w:rsidR="00054CCF" w:rsidRDefault="00054CCF">
            <w:pPr>
              <w:pStyle w:val="TableParagraph"/>
              <w:spacing w:before="2"/>
              <w:ind w:left="0"/>
              <w:rPr>
                <w:rFonts w:ascii="Calibri"/>
                <w:b/>
              </w:rPr>
            </w:pPr>
          </w:p>
          <w:p w14:paraId="2C6B5781" w14:textId="77777777" w:rsidR="00054CCF" w:rsidRDefault="007D643D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This module explores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 role of HRM in making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sustainable,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well as the role of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z w:val="24"/>
              </w:rPr>
              <w:t xml:space="preserve"> leaders in contributing to corporate sustainability and to overall societal sustainable development. The module uses a cross disciplinary approach through</w:t>
            </w:r>
          </w:p>
          <w:p w14:paraId="2C6B5782" w14:textId="77777777" w:rsidR="00054CCF" w:rsidRDefault="007D643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including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other</w:t>
            </w:r>
          </w:p>
          <w:p w14:paraId="2C6B5783" w14:textId="77777777" w:rsidR="00054CCF" w:rsidRDefault="007D643D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disciplines such as; strategic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HRM, green HRM,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sustainability, corporate social responsibility,</w:t>
            </w:r>
          </w:p>
          <w:p w14:paraId="2C6B5784" w14:textId="77777777" w:rsidR="00054CCF" w:rsidRDefault="007D643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perspectives.</w:t>
            </w:r>
          </w:p>
        </w:tc>
      </w:tr>
      <w:tr w:rsidR="00054CCF" w14:paraId="2C6B578B" w14:textId="77777777">
        <w:trPr>
          <w:trHeight w:val="3587"/>
        </w:trPr>
        <w:tc>
          <w:tcPr>
            <w:tcW w:w="4210" w:type="dxa"/>
          </w:tcPr>
          <w:p w14:paraId="2C6B5786" w14:textId="77777777" w:rsidR="00054CCF" w:rsidRDefault="007D643D">
            <w:pPr>
              <w:pStyle w:val="TableParagraph"/>
              <w:ind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Digital,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People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Analytics (10 ECTS)</w:t>
            </w:r>
          </w:p>
          <w:p w14:paraId="2C6B5787" w14:textId="77777777" w:rsidR="00054CCF" w:rsidRDefault="007D643D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This module provides a grounding in the basic principles of people analytics and 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confined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HR department, this module aims to develop the awareness, skills and knowledge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people analytics as a mental framework, linking human resource decisions to business outcomes and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performance.</w:t>
            </w:r>
          </w:p>
        </w:tc>
        <w:tc>
          <w:tcPr>
            <w:tcW w:w="4325" w:type="dxa"/>
          </w:tcPr>
          <w:p w14:paraId="2C6B5788" w14:textId="030CC26C" w:rsidR="00054CCF" w:rsidRDefault="007D64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Society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734DBA">
              <w:rPr>
                <w:b/>
                <w:spacing w:val="-2"/>
                <w:sz w:val="24"/>
              </w:rPr>
              <w:t>ECT</w:t>
            </w:r>
            <w:r>
              <w:rPr>
                <w:b/>
                <w:spacing w:val="-2"/>
                <w:sz w:val="24"/>
              </w:rPr>
              <w:t>S)</w:t>
            </w:r>
          </w:p>
          <w:p w14:paraId="2C6B5789" w14:textId="77777777" w:rsidR="00054CCF" w:rsidRDefault="00054CCF">
            <w:pPr>
              <w:pStyle w:val="TableParagraph"/>
              <w:ind w:left="0"/>
              <w:rPr>
                <w:rFonts w:ascii="Calibri"/>
                <w:b/>
                <w:sz w:val="21"/>
              </w:rPr>
            </w:pPr>
          </w:p>
          <w:p w14:paraId="2C6B578A" w14:textId="77777777" w:rsidR="00054CCF" w:rsidRDefault="007D643D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The module provides a comprehensive overview of the intersection between business and society, including the challenges facing </w:t>
            </w:r>
            <w:proofErr w:type="spellStart"/>
            <w:r>
              <w:rPr>
                <w:sz w:val="24"/>
              </w:rPr>
              <w:t>organisations</w:t>
            </w:r>
            <w:proofErr w:type="spellEnd"/>
            <w:r>
              <w:rPr>
                <w:sz w:val="24"/>
              </w:rPr>
              <w:t xml:space="preserve"> as they pursue global business activities. It places business ethics in a richer contextual setting, focusing on the challenges that businesses must now confront, and exploring how these issues can be met by 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rethinking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models,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strategies.</w:t>
            </w:r>
          </w:p>
        </w:tc>
      </w:tr>
      <w:tr w:rsidR="00054CCF" w14:paraId="2C6B5793" w14:textId="77777777">
        <w:trPr>
          <w:trHeight w:val="4139"/>
        </w:trPr>
        <w:tc>
          <w:tcPr>
            <w:tcW w:w="4210" w:type="dxa"/>
          </w:tcPr>
          <w:p w14:paraId="2C6B578C" w14:textId="77777777" w:rsidR="00054CCF" w:rsidRDefault="007D643D">
            <w:pPr>
              <w:pStyle w:val="TableParagraph"/>
              <w:ind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Business and Professional Development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ECTS)</w:t>
            </w:r>
          </w:p>
          <w:p w14:paraId="2C6B578D" w14:textId="77777777" w:rsidR="00054CCF" w:rsidRDefault="00054CCF">
            <w:pPr>
              <w:pStyle w:val="TableParagraph"/>
              <w:spacing w:before="1"/>
              <w:ind w:left="0"/>
              <w:rPr>
                <w:rFonts w:ascii="Calibri"/>
                <w:b/>
              </w:rPr>
            </w:pPr>
          </w:p>
          <w:p w14:paraId="2C6B578E" w14:textId="77777777" w:rsidR="00054CCF" w:rsidRDefault="007D643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focuses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development of skills that are pivotal to successful management practice and to effective leadership, including: thinking and decision-making skills, the management of financial information and budgets, team working and interpersonal skills.</w:t>
            </w:r>
          </w:p>
          <w:p w14:paraId="2DC587EE" w14:textId="77777777" w:rsidR="00054CCF" w:rsidRDefault="007D643D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prepares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formal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z w:val="24"/>
              </w:rPr>
              <w:t xml:space="preserve"> of study with the inclusion of key postgraduate focus on critical reflection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 ethical and professional standpoint.</w:t>
            </w:r>
          </w:p>
          <w:p w14:paraId="2C6B578F" w14:textId="177C1DE7" w:rsidR="00DC0CAF" w:rsidRDefault="00DC0CAF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</w:p>
        </w:tc>
        <w:tc>
          <w:tcPr>
            <w:tcW w:w="4325" w:type="dxa"/>
          </w:tcPr>
          <w:p w14:paraId="2C6B5790" w14:textId="1082CD93" w:rsidR="00054CCF" w:rsidRDefault="007D64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Critical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Thinking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Analytical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Skills </w:t>
            </w:r>
            <w:r w:rsidR="00734DBA">
              <w:rPr>
                <w:b/>
                <w:spacing w:val="-2"/>
                <w:sz w:val="24"/>
              </w:rPr>
              <w:t>(5ECTS</w:t>
            </w:r>
            <w:r>
              <w:rPr>
                <w:b/>
                <w:spacing w:val="-2"/>
                <w:sz w:val="24"/>
              </w:rPr>
              <w:t>)</w:t>
            </w:r>
          </w:p>
          <w:p w14:paraId="2C6B5791" w14:textId="77777777" w:rsidR="00054CCF" w:rsidRDefault="00054CCF">
            <w:pPr>
              <w:pStyle w:val="TableParagraph"/>
              <w:spacing w:before="1"/>
              <w:ind w:left="0"/>
              <w:rPr>
                <w:rFonts w:ascii="Calibri"/>
                <w:b/>
              </w:rPr>
            </w:pPr>
          </w:p>
          <w:p w14:paraId="5726F605" w14:textId="77777777" w:rsidR="00054CCF" w:rsidRDefault="007D643D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 xml:space="preserve">This module focuses on the evaluation of evidence and helps </w:t>
            </w:r>
            <w:proofErr w:type="gramStart"/>
            <w:r>
              <w:rPr>
                <w:sz w:val="24"/>
              </w:rPr>
              <w:t>students</w:t>
            </w:r>
            <w:proofErr w:type="gramEnd"/>
            <w:r>
              <w:rPr>
                <w:sz w:val="24"/>
              </w:rPr>
              <w:t xml:space="preserve"> critical thinking competencies. It provides students with an understanding of the limitations of research methods and of the biases that methods and /or researchers introduce. Students will be guided in strengthening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skills to effectively communicate, not only business recommendations, but also how these recommendations were determined</w:t>
            </w:r>
          </w:p>
          <w:p w14:paraId="2C6B5792" w14:textId="1A94BD18" w:rsidR="00DC0CAF" w:rsidRDefault="00DC0CAF">
            <w:pPr>
              <w:pStyle w:val="TableParagraph"/>
              <w:ind w:right="113"/>
              <w:rPr>
                <w:sz w:val="24"/>
              </w:rPr>
            </w:pPr>
          </w:p>
        </w:tc>
      </w:tr>
      <w:tr w:rsidR="00054CCF" w14:paraId="2C6B579A" w14:textId="77777777">
        <w:trPr>
          <w:trHeight w:val="1655"/>
        </w:trPr>
        <w:tc>
          <w:tcPr>
            <w:tcW w:w="4210" w:type="dxa"/>
          </w:tcPr>
          <w:p w14:paraId="2C6B5794" w14:textId="48C55C58" w:rsidR="00054CCF" w:rsidRDefault="007D64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(5 </w:t>
            </w:r>
            <w:r w:rsidR="00734DBA">
              <w:rPr>
                <w:b/>
                <w:spacing w:val="-4"/>
                <w:sz w:val="24"/>
              </w:rPr>
              <w:t>ECTS</w:t>
            </w:r>
            <w:r>
              <w:rPr>
                <w:b/>
                <w:spacing w:val="-4"/>
                <w:sz w:val="24"/>
              </w:rPr>
              <w:t>)</w:t>
            </w:r>
          </w:p>
          <w:p w14:paraId="2C6B5795" w14:textId="77777777" w:rsidR="00054CCF" w:rsidRDefault="00054CCF">
            <w:pPr>
              <w:pStyle w:val="TableParagraph"/>
              <w:ind w:left="0"/>
              <w:rPr>
                <w:rFonts w:ascii="Calibri"/>
                <w:b/>
                <w:sz w:val="21"/>
              </w:rPr>
            </w:pPr>
          </w:p>
          <w:p w14:paraId="2C6B5796" w14:textId="77777777" w:rsidR="00054CCF" w:rsidRDefault="007D643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covers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management methods and techniques for successful project delivery. It delves into the planning, budgeting, quality, leadership</w:t>
            </w:r>
          </w:p>
        </w:tc>
        <w:tc>
          <w:tcPr>
            <w:tcW w:w="4325" w:type="dxa"/>
          </w:tcPr>
          <w:p w14:paraId="2C6B5797" w14:textId="77777777" w:rsidR="00054CCF" w:rsidRDefault="007D64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Negotiations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ECTS)</w:t>
            </w:r>
          </w:p>
          <w:p w14:paraId="2C6B5798" w14:textId="77777777" w:rsidR="00054CCF" w:rsidRDefault="00054CCF">
            <w:pPr>
              <w:pStyle w:val="TableParagraph"/>
              <w:ind w:left="0"/>
              <w:rPr>
                <w:rFonts w:ascii="Calibri"/>
                <w:b/>
                <w:sz w:val="21"/>
              </w:rPr>
            </w:pPr>
          </w:p>
          <w:p w14:paraId="2C6B5799" w14:textId="77777777" w:rsidR="00054CCF" w:rsidRDefault="007D643D">
            <w:pPr>
              <w:pStyle w:val="TableParagraph"/>
              <w:spacing w:line="270" w:lineRule="atLeast"/>
              <w:ind w:right="161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more parties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competing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interests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discuss and manage issues so as to attain an agreement, settle a matter of mutual</w:t>
            </w:r>
          </w:p>
        </w:tc>
      </w:tr>
    </w:tbl>
    <w:p w14:paraId="2C6B579B" w14:textId="77777777" w:rsidR="00054CCF" w:rsidRDefault="00054CCF">
      <w:pPr>
        <w:spacing w:line="270" w:lineRule="atLeast"/>
        <w:rPr>
          <w:sz w:val="24"/>
        </w:rPr>
        <w:sectPr w:rsidR="00054CCF">
          <w:type w:val="continuous"/>
          <w:pgSz w:w="11910" w:h="16840"/>
          <w:pgMar w:top="1400" w:right="1560" w:bottom="280" w:left="13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0"/>
        <w:gridCol w:w="4325"/>
      </w:tblGrid>
      <w:tr w:rsidR="00054CCF" w14:paraId="2C6B57A0" w14:textId="77777777">
        <w:trPr>
          <w:trHeight w:val="2207"/>
        </w:trPr>
        <w:tc>
          <w:tcPr>
            <w:tcW w:w="4210" w:type="dxa"/>
          </w:tcPr>
          <w:p w14:paraId="2C6B579C" w14:textId="77777777" w:rsidR="00054CCF" w:rsidRDefault="007D64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  <w:p w14:paraId="2C6B579D" w14:textId="77777777" w:rsidR="00054CCF" w:rsidRDefault="007D643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different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settings.</w:t>
            </w:r>
          </w:p>
        </w:tc>
        <w:tc>
          <w:tcPr>
            <w:tcW w:w="4325" w:type="dxa"/>
          </w:tcPr>
          <w:p w14:paraId="2C6B579E" w14:textId="77777777" w:rsidR="00054CCF" w:rsidRDefault="007D643D">
            <w:pPr>
              <w:pStyle w:val="TableParagraph"/>
              <w:ind w:right="161"/>
              <w:rPr>
                <w:sz w:val="24"/>
              </w:rPr>
            </w:pPr>
            <w:proofErr w:type="gramStart"/>
            <w:r>
              <w:rPr>
                <w:sz w:val="24"/>
              </w:rPr>
              <w:t>concern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resolve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conflict.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Negotiation is a valuable leadership and management skill, which is employed in a wide range of business contexts, such as contracts, deal-making, employment discussions, team building, and disputes. Negotiations</w:t>
            </w:r>
          </w:p>
          <w:p w14:paraId="2C6B579F" w14:textId="77777777" w:rsidR="00054CCF" w:rsidRDefault="007D643D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occur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commercial,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non-profit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and governmental </w:t>
            </w:r>
            <w:proofErr w:type="spellStart"/>
            <w:r>
              <w:rPr>
                <w:sz w:val="24"/>
              </w:rPr>
              <w:t>organisations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54CCF" w14:paraId="2C6B57A3" w14:textId="77777777">
        <w:trPr>
          <w:trHeight w:val="1379"/>
        </w:trPr>
        <w:tc>
          <w:tcPr>
            <w:tcW w:w="8535" w:type="dxa"/>
            <w:gridSpan w:val="2"/>
          </w:tcPr>
          <w:p w14:paraId="2C6B57A1" w14:textId="77777777" w:rsidR="00054CCF" w:rsidRDefault="007D643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HRM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ECTS)</w:t>
            </w:r>
          </w:p>
          <w:p w14:paraId="2C6B57A2" w14:textId="77777777" w:rsidR="00054CCF" w:rsidRDefault="007D64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encourages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expertise across a range of specialist themes in the complex field of IHRM.</w:t>
            </w:r>
          </w:p>
        </w:tc>
      </w:tr>
    </w:tbl>
    <w:p w14:paraId="2C6B57A4" w14:textId="77777777" w:rsidR="001C6458" w:rsidRDefault="001C6458"/>
    <w:sectPr w:rsidR="001C6458">
      <w:type w:val="continuous"/>
      <w:pgSz w:w="11910" w:h="16840"/>
      <w:pgMar w:top="1400" w:right="15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CF"/>
    <w:rsid w:val="00054CCF"/>
    <w:rsid w:val="001C6458"/>
    <w:rsid w:val="00734DBA"/>
    <w:rsid w:val="007D643D"/>
    <w:rsid w:val="00AA4EED"/>
    <w:rsid w:val="00DC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B576C"/>
  <w15:docId w15:val="{D8A6FCAF-7EB1-402C-99B8-881486FC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Sheridan</dc:creator>
  <dc:description/>
  <cp:lastModifiedBy>Allman, Sharon</cp:lastModifiedBy>
  <cp:revision>2</cp:revision>
  <dcterms:created xsi:type="dcterms:W3CDTF">2024-11-19T17:57:00Z</dcterms:created>
  <dcterms:modified xsi:type="dcterms:W3CDTF">2024-11-19T17:57:00Z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0x010100124334E90161F04FBC841F5562821D8D</vt:lpwstr>
  </property>
  <property fmtid="{D5CDD505-2E9C-101B-9397-08002B2CF9AE}" pid="3" name="Created">
    <vt:filetime>2022-02-02T00:00:00Z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2023-07-12T00:00:00Z</vt:filetime>
  </property>
  <property fmtid="{D5CDD505-2E9C-101B-9397-08002B2CF9AE}" pid="6" name="Producer">
    <vt:lpwstr>Adobe PDF Library 21.11.71</vt:lpwstr>
  </property>
  <property fmtid="{D5CDD505-2E9C-101B-9397-08002B2CF9AE}" pid="7" name="SourceModified">
    <vt:lpwstr/>
  </property>
</Properties>
</file>