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3010" w14:textId="77777777" w:rsidR="00332A0E" w:rsidRPr="00AA5FAF" w:rsidRDefault="00332A0E" w:rsidP="00332A0E">
      <w:pPr>
        <w:spacing w:after="120"/>
        <w:jc w:val="center"/>
        <w:rPr>
          <w:rFonts w:ascii="Arial" w:hAnsi="Arial" w:cs="Arial"/>
          <w:smallCaps/>
          <w:sz w:val="28"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5FAF">
        <w:rPr>
          <w:rFonts w:ascii="Arial" w:hAnsi="Arial" w:cs="Arial"/>
          <w:smallCaps/>
          <w:sz w:val="28"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 International Law – LW531</w:t>
      </w:r>
    </w:p>
    <w:p w14:paraId="070FB340" w14:textId="77777777" w:rsidR="00332A0E" w:rsidRDefault="00332A0E" w:rsidP="00332A0E">
      <w:pPr>
        <w:pStyle w:val="Title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Irish Centre for Human Rights</w:t>
      </w:r>
    </w:p>
    <w:p w14:paraId="005C6523" w14:textId="77777777" w:rsidR="00332A0E" w:rsidRPr="00CD7CA0" w:rsidRDefault="00332A0E" w:rsidP="00332A0E">
      <w:pPr>
        <w:pStyle w:val="Title"/>
        <w:rPr>
          <w:spacing w:val="-2"/>
          <w:sz w:val="28"/>
          <w:szCs w:val="28"/>
        </w:rPr>
      </w:pPr>
      <w:r w:rsidRPr="00CD7CA0">
        <w:rPr>
          <w:spacing w:val="-2"/>
          <w:sz w:val="28"/>
          <w:szCs w:val="28"/>
        </w:rPr>
        <w:t>School of Law</w:t>
      </w:r>
    </w:p>
    <w:p w14:paraId="73A09CBE" w14:textId="164CA0E6" w:rsidR="00332A0E" w:rsidRPr="00703561" w:rsidRDefault="00332A0E" w:rsidP="00332A0E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>
        <w:rPr>
          <w:rFonts w:ascii="Arial" w:hAnsi="Arial" w:cs="Arial"/>
          <w:b/>
          <w:sz w:val="28"/>
          <w:szCs w:val="28"/>
          <w:lang w:val="en-CA"/>
        </w:rPr>
        <w:t>Academic Year 2019-2020</w:t>
      </w:r>
    </w:p>
    <w:p w14:paraId="73AA2B98" w14:textId="77777777" w:rsidR="00332A0E" w:rsidRPr="00AA5FAF" w:rsidRDefault="00332A0E" w:rsidP="00332A0E">
      <w:pPr>
        <w:spacing w:after="120"/>
        <w:jc w:val="center"/>
        <w:rPr>
          <w:rFonts w:ascii="Arial" w:hAnsi="Arial" w:cs="Arial"/>
          <w:smallCaps/>
          <w:sz w:val="28"/>
          <w:lang w:val="fr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575722" w14:textId="77777777" w:rsidR="00332A0E" w:rsidRPr="00786B75" w:rsidRDefault="00332A0E" w:rsidP="00332A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7CA0">
        <w:rPr>
          <w:rFonts w:ascii="Arial" w:hAnsi="Arial" w:cs="Arial"/>
          <w:b/>
          <w:bCs/>
          <w:sz w:val="28"/>
          <w:szCs w:val="28"/>
        </w:rPr>
        <w:t xml:space="preserve">Course </w:t>
      </w:r>
      <w:proofErr w:type="spellStart"/>
      <w:r w:rsidRPr="00CD7CA0">
        <w:rPr>
          <w:rFonts w:ascii="Arial" w:hAnsi="Arial" w:cs="Arial"/>
          <w:b/>
          <w:bCs/>
          <w:sz w:val="28"/>
          <w:szCs w:val="28"/>
        </w:rPr>
        <w:t>Outline</w:t>
      </w:r>
      <w:proofErr w:type="spellEnd"/>
    </w:p>
    <w:p w14:paraId="4BB6A95D" w14:textId="77777777" w:rsidR="00332A0E" w:rsidRDefault="00332A0E" w:rsidP="00332A0E">
      <w:pPr>
        <w:jc w:val="both"/>
        <w:rPr>
          <w:rFonts w:ascii="Arial" w:hAnsi="Arial" w:cs="Arial"/>
          <w:lang w:val="fr-CH"/>
        </w:rPr>
      </w:pPr>
    </w:p>
    <w:tbl>
      <w:tblPr>
        <w:tblW w:w="55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428"/>
        <w:gridCol w:w="1219"/>
        <w:gridCol w:w="458"/>
        <w:gridCol w:w="1370"/>
        <w:gridCol w:w="705"/>
        <w:gridCol w:w="334"/>
        <w:gridCol w:w="2608"/>
      </w:tblGrid>
      <w:tr w:rsidR="00332A0E" w:rsidRPr="004063B3" w14:paraId="728511CB" w14:textId="77777777" w:rsidTr="00332A0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C31D9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szCs w:val="20"/>
              </w:rPr>
            </w:pPr>
            <w:r w:rsidRPr="002C1652">
              <w:rPr>
                <w:rFonts w:ascii="Arial" w:hAnsi="Arial" w:cs="Arial"/>
                <w:b/>
                <w:szCs w:val="20"/>
              </w:rPr>
              <w:t>Objective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1C3C" w14:textId="77777777" w:rsidR="00332A0E" w:rsidRPr="004063B3" w:rsidRDefault="00332A0E" w:rsidP="00BE1C26">
            <w:pPr>
              <w:tabs>
                <w:tab w:val="left" w:pos="-720"/>
              </w:tabs>
              <w:spacing w:before="60" w:after="60"/>
              <w:ind w:right="85"/>
              <w:jc w:val="both"/>
              <w:rPr>
                <w:rFonts w:ascii="Arial" w:hAnsi="Arial" w:cs="Arial"/>
                <w:szCs w:val="20"/>
                <w:lang w:val="en-CA"/>
              </w:rPr>
            </w:pPr>
            <w:r w:rsidRPr="00F079D1">
              <w:rPr>
                <w:rFonts w:ascii="Arial" w:hAnsi="Arial" w:cs="Arial"/>
                <w:lang w:val="en-CA"/>
              </w:rPr>
              <w:t>The course is intended for students with little or no knowledge of public international law. The main objective of the course is to provide students with an overview</w:t>
            </w:r>
            <w:r>
              <w:rPr>
                <w:rFonts w:ascii="Arial" w:hAnsi="Arial" w:cs="Arial"/>
                <w:lang w:val="en-CA"/>
              </w:rPr>
              <w:t xml:space="preserve"> of the fundamental notions and method</w:t>
            </w:r>
            <w:r w:rsidRPr="00F079D1">
              <w:rPr>
                <w:rFonts w:ascii="Arial" w:hAnsi="Arial" w:cs="Arial"/>
                <w:lang w:val="en-CA"/>
              </w:rPr>
              <w:t>o</w:t>
            </w:r>
            <w:r>
              <w:rPr>
                <w:rFonts w:ascii="Arial" w:hAnsi="Arial" w:cs="Arial"/>
                <w:lang w:val="en-CA"/>
              </w:rPr>
              <w:t>lo</w:t>
            </w:r>
            <w:r w:rsidRPr="00F079D1">
              <w:rPr>
                <w:rFonts w:ascii="Arial" w:hAnsi="Arial" w:cs="Arial"/>
                <w:lang w:val="en-CA"/>
              </w:rPr>
              <w:t>gy of public international law. The course will equip students with the skills required in order to envisage legal di</w:t>
            </w:r>
            <w:r>
              <w:rPr>
                <w:rFonts w:ascii="Arial" w:hAnsi="Arial" w:cs="Arial"/>
                <w:lang w:val="en-CA"/>
              </w:rPr>
              <w:t>mensions of human rights issues</w:t>
            </w:r>
            <w:r w:rsidRPr="004063B3">
              <w:rPr>
                <w:rFonts w:ascii="Arial" w:hAnsi="Arial" w:cs="Arial"/>
                <w:szCs w:val="20"/>
                <w:lang w:val="en-CA"/>
              </w:rPr>
              <w:t>.</w:t>
            </w:r>
          </w:p>
        </w:tc>
      </w:tr>
      <w:tr w:rsidR="00332A0E" w:rsidRPr="009239F4" w14:paraId="1DB2D7EE" w14:textId="77777777" w:rsidTr="00332A0E">
        <w:trPr>
          <w:trHeight w:val="134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89D71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239F4">
              <w:rPr>
                <w:rFonts w:ascii="Arial" w:hAnsi="Arial" w:cs="Arial"/>
                <w:b/>
                <w:szCs w:val="20"/>
              </w:rPr>
              <w:t>Lecturer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(s)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8CEC44" w14:textId="77777777" w:rsidR="00332A0E" w:rsidRPr="00FE40C1" w:rsidRDefault="00332A0E" w:rsidP="00BE1C26">
            <w:pPr>
              <w:tabs>
                <w:tab w:val="left" w:pos="-720"/>
              </w:tabs>
              <w:spacing w:before="60" w:after="60"/>
              <w:ind w:right="85"/>
              <w:rPr>
                <w:rFonts w:ascii="Arial" w:hAnsi="Arial" w:cs="Arial"/>
                <w:b/>
                <w:szCs w:val="20"/>
              </w:rPr>
            </w:pPr>
            <w:r w:rsidRPr="00FE40C1"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1050BC0E" w14:textId="77777777" w:rsidR="00332A0E" w:rsidRPr="00FE40C1" w:rsidRDefault="00332A0E" w:rsidP="00BE1C26">
            <w:pPr>
              <w:tabs>
                <w:tab w:val="left" w:pos="-720"/>
              </w:tabs>
              <w:spacing w:before="60" w:after="60"/>
              <w:ind w:right="85" w:firstLine="314"/>
              <w:rPr>
                <w:rFonts w:ascii="Arial" w:hAnsi="Arial" w:cs="Arial"/>
                <w:b/>
                <w:szCs w:val="20"/>
              </w:rPr>
            </w:pPr>
            <w:r w:rsidRPr="00FE40C1">
              <w:rPr>
                <w:rFonts w:ascii="Arial" w:hAnsi="Arial" w:cs="Arial"/>
                <w:b/>
                <w:szCs w:val="20"/>
              </w:rPr>
              <w:t>Office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44B2647" w14:textId="77777777" w:rsidR="00332A0E" w:rsidRPr="00FE40C1" w:rsidRDefault="00332A0E" w:rsidP="00BE1C26">
            <w:pPr>
              <w:tabs>
                <w:tab w:val="left" w:pos="-720"/>
              </w:tabs>
              <w:spacing w:before="60" w:after="60"/>
              <w:ind w:right="85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</w:t>
            </w:r>
            <w:r w:rsidRPr="00FE40C1">
              <w:rPr>
                <w:rFonts w:ascii="Arial" w:hAnsi="Arial" w:cs="Arial"/>
                <w:b/>
                <w:szCs w:val="20"/>
              </w:rPr>
              <w:t>xt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2082651" w14:textId="77777777" w:rsidR="00332A0E" w:rsidRPr="00FE40C1" w:rsidRDefault="00332A0E" w:rsidP="00BE1C26">
            <w:pPr>
              <w:tabs>
                <w:tab w:val="left" w:pos="-720"/>
              </w:tabs>
              <w:spacing w:before="60" w:after="60"/>
              <w:ind w:right="85"/>
              <w:rPr>
                <w:rFonts w:ascii="Arial" w:hAnsi="Arial" w:cs="Arial"/>
                <w:b/>
                <w:szCs w:val="20"/>
              </w:rPr>
            </w:pPr>
            <w:r w:rsidRPr="00FE40C1">
              <w:rPr>
                <w:rFonts w:ascii="Arial" w:hAnsi="Arial" w:cs="Arial"/>
                <w:b/>
                <w:szCs w:val="20"/>
              </w:rPr>
              <w:t>E-mail</w:t>
            </w:r>
          </w:p>
        </w:tc>
      </w:tr>
      <w:tr w:rsidR="00332A0E" w:rsidRPr="004063B3" w14:paraId="088266D3" w14:textId="77777777" w:rsidTr="00332A0E">
        <w:trPr>
          <w:trHeight w:val="133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28B84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7F40C9" w14:textId="77777777" w:rsidR="00332A0E" w:rsidRPr="004063B3" w:rsidRDefault="00332A0E" w:rsidP="00BE1C26">
            <w:pPr>
              <w:tabs>
                <w:tab w:val="left" w:pos="-720"/>
              </w:tabs>
              <w:spacing w:before="60" w:after="60"/>
              <w:ind w:right="-246"/>
              <w:jc w:val="center"/>
              <w:rPr>
                <w:rFonts w:ascii="Arial" w:hAnsi="Arial" w:cs="Arial"/>
                <w:szCs w:val="20"/>
                <w:lang w:val="en-CA"/>
              </w:rPr>
            </w:pPr>
            <w:r w:rsidRPr="004063B3">
              <w:rPr>
                <w:rFonts w:ascii="Arial" w:hAnsi="Arial" w:cs="Arial"/>
                <w:szCs w:val="20"/>
                <w:lang w:val="en-CA"/>
              </w:rPr>
              <w:t xml:space="preserve">Dr. </w:t>
            </w:r>
            <w:r>
              <w:rPr>
                <w:rFonts w:ascii="Arial" w:hAnsi="Arial" w:cs="Arial"/>
                <w:szCs w:val="20"/>
                <w:lang w:val="en-CA"/>
              </w:rPr>
              <w:t xml:space="preserve">Ekaterina </w:t>
            </w:r>
            <w:proofErr w:type="spellStart"/>
            <w:r>
              <w:rPr>
                <w:rFonts w:ascii="Arial" w:hAnsi="Arial" w:cs="Arial"/>
                <w:szCs w:val="20"/>
                <w:lang w:val="en-CA"/>
              </w:rPr>
              <w:t>Yahyaouii</w:t>
            </w:r>
            <w:proofErr w:type="spellEnd"/>
            <w:r>
              <w:rPr>
                <w:rFonts w:ascii="Arial" w:hAnsi="Arial" w:cs="Arial"/>
                <w:szCs w:val="20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  <w:lang w:val="en-CA"/>
              </w:rPr>
              <w:t>Krivenko</w:t>
            </w:r>
            <w:proofErr w:type="spellEnd"/>
          </w:p>
          <w:p w14:paraId="7FE54658" w14:textId="77777777" w:rsidR="00332A0E" w:rsidRPr="004063B3" w:rsidRDefault="00332A0E" w:rsidP="00BE1C26">
            <w:pPr>
              <w:tabs>
                <w:tab w:val="left" w:pos="-720"/>
              </w:tabs>
              <w:spacing w:before="60" w:after="60"/>
              <w:ind w:right="-246"/>
              <w:jc w:val="center"/>
              <w:rPr>
                <w:rFonts w:ascii="Arial" w:hAnsi="Arial" w:cs="Arial"/>
                <w:szCs w:val="20"/>
                <w:lang w:val="en-CA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C88A65" w14:textId="77777777" w:rsidR="00332A0E" w:rsidRPr="004063B3" w:rsidRDefault="00332A0E" w:rsidP="00BE1C26">
            <w:pPr>
              <w:tabs>
                <w:tab w:val="left" w:pos="-720"/>
              </w:tabs>
              <w:spacing w:before="60" w:after="60"/>
              <w:ind w:left="314" w:right="85"/>
              <w:jc w:val="center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szCs w:val="20"/>
                <w:lang w:val="en-CA"/>
              </w:rPr>
              <w:t>205 ICHR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71F1E0" w14:textId="77777777" w:rsidR="00332A0E" w:rsidRPr="004063B3" w:rsidRDefault="00332A0E" w:rsidP="00BE1C26">
            <w:pPr>
              <w:tabs>
                <w:tab w:val="left" w:pos="-720"/>
              </w:tabs>
              <w:spacing w:before="60" w:after="60"/>
              <w:ind w:left="-257" w:right="85" w:firstLine="257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szCs w:val="20"/>
                <w:lang w:val="en-CA"/>
              </w:rPr>
              <w:t>2065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758E628" w14:textId="77777777" w:rsidR="00332A0E" w:rsidRPr="004063B3" w:rsidRDefault="0075098E" w:rsidP="00BE1C26">
            <w:pPr>
              <w:tabs>
                <w:tab w:val="left" w:pos="-720"/>
              </w:tabs>
              <w:spacing w:before="60" w:after="60"/>
              <w:ind w:right="85"/>
              <w:rPr>
                <w:rFonts w:ascii="Arial" w:hAnsi="Arial" w:cs="Arial"/>
                <w:sz w:val="20"/>
                <w:szCs w:val="20"/>
                <w:lang w:val="en-CA"/>
              </w:rPr>
            </w:pPr>
            <w:hyperlink r:id="rId7" w:history="1">
              <w:r w:rsidR="00332A0E" w:rsidRPr="00DC0498">
                <w:rPr>
                  <w:rStyle w:val="Hyperlink"/>
                  <w:rFonts w:ascii="Arial" w:hAnsi="Arial" w:cs="Arial"/>
                  <w:lang w:val="en-CA"/>
                </w:rPr>
                <w:t>Ekaterina.yahyaoui@nuigalway.ie</w:t>
              </w:r>
            </w:hyperlink>
          </w:p>
        </w:tc>
      </w:tr>
      <w:tr w:rsidR="00332A0E" w:rsidRPr="004063B3" w14:paraId="3993B873" w14:textId="77777777" w:rsidTr="00332A0E">
        <w:trPr>
          <w:trHeight w:val="134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F5B69" w14:textId="77777777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ind w:left="1440" w:right="84" w:hanging="1440"/>
              <w:jc w:val="center"/>
              <w:rPr>
                <w:rFonts w:ascii="Arial" w:hAnsi="Arial" w:cs="Arial"/>
                <w:szCs w:val="20"/>
                <w:lang w:val="en-CA"/>
              </w:rPr>
            </w:pPr>
            <w:r w:rsidRPr="004063B3">
              <w:rPr>
                <w:rFonts w:ascii="Arial" w:hAnsi="Arial" w:cs="Arial"/>
                <w:b/>
                <w:szCs w:val="20"/>
                <w:lang w:val="en-CA"/>
              </w:rPr>
              <w:t>Times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28BCF" w14:textId="77777777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left="1440" w:right="85" w:hanging="1440"/>
              <w:rPr>
                <w:rFonts w:ascii="Arial" w:hAnsi="Arial" w:cs="Arial"/>
                <w:szCs w:val="20"/>
                <w:lang w:val="en-CA"/>
              </w:rPr>
            </w:pPr>
            <w:r w:rsidRPr="004063B3">
              <w:rPr>
                <w:rFonts w:ascii="Arial" w:hAnsi="Arial" w:cs="Arial"/>
                <w:szCs w:val="20"/>
                <w:lang w:val="en-CA"/>
              </w:rPr>
              <w:t>Term</w:t>
            </w:r>
            <w:r>
              <w:rPr>
                <w:rFonts w:ascii="Arial" w:hAnsi="Arial" w:cs="Arial"/>
                <w:szCs w:val="20"/>
                <w:lang w:val="en-CA"/>
              </w:rPr>
              <w:t xml:space="preserve"> </w:t>
            </w:r>
            <w:r w:rsidRPr="004063B3">
              <w:rPr>
                <w:rFonts w:ascii="Arial" w:hAnsi="Arial" w:cs="Arial"/>
                <w:szCs w:val="20"/>
                <w:lang w:val="en-CA"/>
              </w:rPr>
              <w:t>One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A54AC" w14:textId="77777777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left="1440" w:right="85" w:hanging="1440"/>
              <w:rPr>
                <w:rFonts w:ascii="Arial" w:hAnsi="Arial" w:cs="Arial"/>
                <w:b/>
                <w:szCs w:val="20"/>
                <w:lang w:val="en-CA"/>
              </w:rPr>
            </w:pPr>
            <w:r w:rsidRPr="004063B3">
              <w:rPr>
                <w:rFonts w:ascii="Arial" w:hAnsi="Arial" w:cs="Arial"/>
                <w:b/>
                <w:szCs w:val="20"/>
                <w:lang w:val="en-CA"/>
              </w:rPr>
              <w:t>Day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F2779" w14:textId="77777777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left="1440" w:right="85" w:hanging="1440"/>
              <w:rPr>
                <w:rFonts w:ascii="Arial" w:hAnsi="Arial" w:cs="Arial"/>
                <w:b/>
                <w:szCs w:val="20"/>
                <w:lang w:val="en-CA"/>
              </w:rPr>
            </w:pPr>
            <w:r w:rsidRPr="004063B3">
              <w:rPr>
                <w:rFonts w:ascii="Arial" w:hAnsi="Arial" w:cs="Arial"/>
                <w:b/>
                <w:szCs w:val="20"/>
                <w:lang w:val="en-CA"/>
              </w:rPr>
              <w:t>Time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3A1064" w14:textId="77777777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left="1440" w:right="85" w:hanging="1440"/>
              <w:rPr>
                <w:rFonts w:ascii="Arial" w:hAnsi="Arial" w:cs="Arial"/>
                <w:b/>
                <w:szCs w:val="20"/>
                <w:lang w:val="en-CA"/>
              </w:rPr>
            </w:pPr>
            <w:r w:rsidRPr="004063B3">
              <w:rPr>
                <w:rFonts w:ascii="Arial" w:hAnsi="Arial" w:cs="Arial"/>
                <w:b/>
                <w:szCs w:val="20"/>
                <w:lang w:val="en-CA"/>
              </w:rPr>
              <w:t>Venue</w:t>
            </w:r>
          </w:p>
        </w:tc>
      </w:tr>
      <w:tr w:rsidR="00332A0E" w:rsidRPr="00786B75" w14:paraId="72F0C8F4" w14:textId="77777777" w:rsidTr="00332A0E">
        <w:trPr>
          <w:trHeight w:val="1086"/>
        </w:trPr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7F1BC" w14:textId="77777777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ind w:left="1440" w:right="84" w:hanging="1440"/>
              <w:jc w:val="center"/>
              <w:rPr>
                <w:rFonts w:ascii="Arial" w:hAnsi="Arial" w:cs="Arial"/>
                <w:b/>
                <w:szCs w:val="20"/>
                <w:lang w:val="en-CA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1B0F4" w14:textId="77777777" w:rsidR="00332A0E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right="85"/>
              <w:rPr>
                <w:rFonts w:ascii="Arial" w:hAnsi="Arial" w:cs="Arial"/>
                <w:szCs w:val="20"/>
                <w:lang w:val="en-CA"/>
              </w:rPr>
            </w:pPr>
            <w:r w:rsidRPr="004063B3">
              <w:rPr>
                <w:rFonts w:ascii="Arial" w:hAnsi="Arial" w:cs="Arial"/>
                <w:szCs w:val="20"/>
                <w:lang w:val="en-CA"/>
              </w:rPr>
              <w:t>Lectures:</w:t>
            </w:r>
          </w:p>
          <w:p w14:paraId="3DEA6AC9" w14:textId="7C5075EE" w:rsidR="00332A0E" w:rsidRPr="004063B3" w:rsidRDefault="00332A0E" w:rsidP="00332A0E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right="85"/>
              <w:rPr>
                <w:rFonts w:ascii="Arial" w:hAnsi="Arial" w:cs="Arial"/>
                <w:szCs w:val="20"/>
                <w:lang w:val="en-CA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F6DD2" w14:textId="0EC8C4C4" w:rsidR="00332A0E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right="85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szCs w:val="20"/>
                <w:lang w:val="en-CA"/>
              </w:rPr>
              <w:t xml:space="preserve">Thursday </w:t>
            </w:r>
          </w:p>
          <w:p w14:paraId="1BF4F219" w14:textId="47315810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right="85"/>
              <w:rPr>
                <w:rFonts w:ascii="Arial" w:hAnsi="Arial" w:cs="Arial"/>
                <w:szCs w:val="20"/>
                <w:lang w:val="en-CA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76A3" w14:textId="77777777" w:rsidR="00332A0E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right="85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szCs w:val="20"/>
                <w:lang w:val="en-CA"/>
              </w:rPr>
              <w:t>10 am to 1 pm</w:t>
            </w:r>
          </w:p>
          <w:p w14:paraId="3CEBFE9E" w14:textId="77777777" w:rsidR="00332A0E" w:rsidRPr="004063B3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right="85"/>
              <w:rPr>
                <w:rFonts w:ascii="Arial" w:hAnsi="Arial" w:cs="Arial"/>
                <w:szCs w:val="20"/>
                <w:lang w:val="en-CA"/>
              </w:rPr>
            </w:pP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3BE1A" w14:textId="77777777" w:rsidR="00332A0E" w:rsidRPr="00786B75" w:rsidRDefault="00332A0E" w:rsidP="00BE1C26">
            <w:pPr>
              <w:tabs>
                <w:tab w:val="left" w:pos="-720"/>
                <w:tab w:val="left" w:pos="0"/>
                <w:tab w:val="left" w:pos="720"/>
              </w:tabs>
              <w:spacing w:before="60" w:after="60"/>
              <w:ind w:right="85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szCs w:val="20"/>
                <w:lang w:val="en-CA"/>
              </w:rPr>
              <w:t>Irish Centre for Human Rights</w:t>
            </w:r>
          </w:p>
        </w:tc>
      </w:tr>
      <w:tr w:rsidR="00332A0E" w:rsidRPr="004063B3" w14:paraId="10783F89" w14:textId="77777777" w:rsidTr="00332A0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A2CDB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9239F4">
              <w:rPr>
                <w:rFonts w:ascii="Arial" w:hAnsi="Arial" w:cs="Arial"/>
                <w:b/>
                <w:szCs w:val="20"/>
              </w:rPr>
              <w:t>Overall</w:t>
            </w:r>
            <w:proofErr w:type="spellEnd"/>
            <w:r w:rsidRPr="009239F4">
              <w:rPr>
                <w:rFonts w:ascii="Arial" w:hAnsi="Arial" w:cs="Arial"/>
                <w:b/>
                <w:szCs w:val="20"/>
              </w:rPr>
              <w:t xml:space="preserve"> Learning </w:t>
            </w:r>
            <w:proofErr w:type="spellStart"/>
            <w:r w:rsidRPr="009239F4">
              <w:rPr>
                <w:rFonts w:ascii="Arial" w:hAnsi="Arial" w:cs="Arial"/>
                <w:b/>
                <w:szCs w:val="20"/>
              </w:rPr>
              <w:t>Outcomes</w:t>
            </w:r>
            <w:proofErr w:type="spellEnd"/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CE9" w14:textId="77777777" w:rsidR="00332A0E" w:rsidRDefault="00332A0E" w:rsidP="00BE1C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Become familiar with fundamental concepts of public international law;</w:t>
            </w:r>
          </w:p>
          <w:p w14:paraId="57CB57D5" w14:textId="77777777" w:rsidR="00332A0E" w:rsidRDefault="00332A0E" w:rsidP="00BE1C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Establish links between fundamental concepts of public international law;</w:t>
            </w:r>
          </w:p>
          <w:p w14:paraId="2EF56145" w14:textId="7BA9EFC2" w:rsidR="00332A0E" w:rsidRDefault="00332A0E" w:rsidP="00BE1C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Determine legal issues raised by current international events;</w:t>
            </w:r>
          </w:p>
          <w:p w14:paraId="415FE814" w14:textId="626D4C88" w:rsidR="00332A0E" w:rsidRDefault="00332A0E" w:rsidP="00BE1C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Be able to identify and find relevant international law documents;</w:t>
            </w:r>
          </w:p>
          <w:p w14:paraId="16A15435" w14:textId="77777777" w:rsidR="00332A0E" w:rsidRDefault="00332A0E" w:rsidP="00BE1C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Apply basic public international law methodology in order to envisage solutions to current international events;</w:t>
            </w:r>
          </w:p>
          <w:p w14:paraId="46283B50" w14:textId="77777777" w:rsidR="00332A0E" w:rsidRPr="004063B3" w:rsidRDefault="00332A0E" w:rsidP="00BE1C2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Critically assess envisaged solutions.</w:t>
            </w:r>
          </w:p>
        </w:tc>
      </w:tr>
      <w:tr w:rsidR="00332A0E" w:rsidRPr="004063B3" w14:paraId="78316FE0" w14:textId="77777777" w:rsidTr="00332A0E">
        <w:trPr>
          <w:trHeight w:val="766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A2B94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szCs w:val="20"/>
              </w:rPr>
            </w:pPr>
            <w:r w:rsidRPr="009239F4">
              <w:rPr>
                <w:rFonts w:ascii="Arial" w:hAnsi="Arial" w:cs="Arial"/>
                <w:b/>
                <w:szCs w:val="20"/>
              </w:rPr>
              <w:t>Format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18B" w14:textId="77777777" w:rsidR="00332A0E" w:rsidRPr="004063B3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Eleven three-hour seminars. Each seminar </w:t>
            </w:r>
            <w:r w:rsidRPr="0044412C">
              <w:rPr>
                <w:rFonts w:ascii="Arial" w:hAnsi="Arial" w:cs="Arial"/>
                <w:lang w:val="en-CA"/>
              </w:rPr>
              <w:t>consis</w:t>
            </w:r>
            <w:r>
              <w:rPr>
                <w:rFonts w:ascii="Arial" w:hAnsi="Arial" w:cs="Arial"/>
                <w:lang w:val="en-CA"/>
              </w:rPr>
              <w:t>ts</w:t>
            </w:r>
            <w:r w:rsidRPr="0044412C">
              <w:rPr>
                <w:rFonts w:ascii="Arial" w:hAnsi="Arial" w:cs="Arial"/>
                <w:lang w:val="en-CA"/>
              </w:rPr>
              <w:t xml:space="preserve"> of a theoretical introduction and class discussion</w:t>
            </w:r>
            <w:r>
              <w:rPr>
                <w:rFonts w:ascii="Arial" w:hAnsi="Arial" w:cs="Arial"/>
                <w:lang w:val="en-CA"/>
              </w:rPr>
              <w:t xml:space="preserve"> of relevant public international law notions, instruments and decisions</w:t>
            </w:r>
            <w:r w:rsidRPr="0044412C">
              <w:rPr>
                <w:rFonts w:ascii="Arial" w:hAnsi="Arial" w:cs="Arial"/>
                <w:lang w:val="en-CA"/>
              </w:rPr>
              <w:t>.</w:t>
            </w:r>
            <w:r>
              <w:rPr>
                <w:rFonts w:ascii="Arial" w:hAnsi="Arial" w:cs="Arial"/>
                <w:lang w:val="en-CA"/>
              </w:rPr>
              <w:t xml:space="preserve"> Students are expected to undertake required readings in preparation for each seminar.</w:t>
            </w:r>
          </w:p>
        </w:tc>
      </w:tr>
      <w:tr w:rsidR="00332A0E" w:rsidRPr="004063B3" w14:paraId="07827E6C" w14:textId="77777777" w:rsidTr="00332A0E">
        <w:trPr>
          <w:trHeight w:val="766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DCEED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b/>
                <w:szCs w:val="20"/>
              </w:rPr>
            </w:pPr>
            <w:r w:rsidRPr="009239F4">
              <w:rPr>
                <w:rFonts w:ascii="Arial" w:hAnsi="Arial" w:cs="Arial"/>
                <w:b/>
                <w:szCs w:val="20"/>
              </w:rPr>
              <w:t>Programme</w:t>
            </w:r>
            <w:r>
              <w:rPr>
                <w:rFonts w:ascii="Arial" w:hAnsi="Arial" w:cs="Arial"/>
                <w:b/>
                <w:szCs w:val="20"/>
              </w:rPr>
              <w:t>(</w:t>
            </w:r>
            <w:r w:rsidRPr="009239F4">
              <w:rPr>
                <w:rFonts w:ascii="Arial" w:hAnsi="Arial" w:cs="Arial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8F7" w14:textId="77777777" w:rsidR="00332A0E" w:rsidRPr="004063B3" w:rsidRDefault="00332A0E" w:rsidP="00BE1C26">
            <w:pPr>
              <w:tabs>
                <w:tab w:val="left" w:pos="-720"/>
              </w:tabs>
              <w:spacing w:before="60" w:after="60"/>
              <w:ind w:right="85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szCs w:val="20"/>
                <w:lang w:val="en-CA"/>
              </w:rPr>
              <w:t>All LL.M. programmes of the ICHR</w:t>
            </w:r>
          </w:p>
        </w:tc>
      </w:tr>
      <w:tr w:rsidR="00332A0E" w:rsidRPr="004063B3" w14:paraId="25C50DA6" w14:textId="77777777" w:rsidTr="00332A0E">
        <w:trPr>
          <w:trHeight w:val="766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89BAC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b/>
                <w:szCs w:val="20"/>
              </w:rPr>
            </w:pPr>
            <w:r w:rsidRPr="009239F4">
              <w:rPr>
                <w:rFonts w:ascii="Arial" w:hAnsi="Arial" w:cs="Arial"/>
                <w:b/>
                <w:szCs w:val="20"/>
              </w:rPr>
              <w:t xml:space="preserve">Course </w:t>
            </w:r>
            <w:proofErr w:type="spellStart"/>
            <w:r w:rsidRPr="009239F4">
              <w:rPr>
                <w:rFonts w:ascii="Arial" w:hAnsi="Arial" w:cs="Arial"/>
                <w:b/>
                <w:szCs w:val="20"/>
              </w:rPr>
              <w:t>Material</w:t>
            </w:r>
            <w:proofErr w:type="spellEnd"/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64A" w14:textId="77777777" w:rsidR="00332A0E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The majority of readings required for this course are judgements and advisory opinions of the International Court of Justice. These judgements and opinions are available on the web-site of the ICJ: </w:t>
            </w:r>
            <w:hyperlink r:id="rId8" w:history="1">
              <w:r w:rsidRPr="0065099A">
                <w:rPr>
                  <w:rStyle w:val="Hyperlink"/>
                </w:rPr>
                <w:t>http://www.icj-cij.org/en/list-of-all-cases</w:t>
              </w:r>
            </w:hyperlink>
            <w:r>
              <w:t xml:space="preserve"> </w:t>
            </w:r>
          </w:p>
          <w:p w14:paraId="24CD68CD" w14:textId="77777777" w:rsidR="00332A0E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Articles from the Max-Planck Encyclopaedia of Public International Law are also required for the majority of courses. They constitute the background reading. These articles are available at: </w:t>
            </w:r>
            <w:hyperlink r:id="rId9" w:history="1">
              <w:r w:rsidRPr="00DC0498">
                <w:rPr>
                  <w:rStyle w:val="Hyperlink"/>
                  <w:rFonts w:ascii="Arial" w:hAnsi="Arial" w:cs="Arial"/>
                  <w:lang w:val="en-CA"/>
                </w:rPr>
                <w:t>http://www.mpepil.com/</w:t>
              </w:r>
            </w:hyperlink>
            <w:r>
              <w:rPr>
                <w:rFonts w:ascii="Arial" w:hAnsi="Arial" w:cs="Arial"/>
                <w:lang w:val="en-CA"/>
              </w:rPr>
              <w:t xml:space="preserve"> (to get full access, please connect from a NUI G computer or using your NUI G credentials)</w:t>
            </w:r>
          </w:p>
          <w:p w14:paraId="773A33F2" w14:textId="77777777" w:rsidR="00332A0E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lastRenderedPageBreak/>
              <w:t xml:space="preserve">Links to other readings are provided in the course outline below. </w:t>
            </w:r>
          </w:p>
          <w:p w14:paraId="0EE7C2F4" w14:textId="77777777" w:rsidR="00332A0E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While students are </w:t>
            </w:r>
            <w:r w:rsidRPr="00332A0E">
              <w:rPr>
                <w:rFonts w:ascii="Arial" w:hAnsi="Arial" w:cs="Arial"/>
                <w:b/>
                <w:bCs/>
                <w:lang w:val="en-CA"/>
              </w:rPr>
              <w:t>not required</w:t>
            </w:r>
            <w:r>
              <w:rPr>
                <w:rFonts w:ascii="Arial" w:hAnsi="Arial" w:cs="Arial"/>
                <w:lang w:val="en-CA"/>
              </w:rPr>
              <w:t xml:space="preserve"> to purchase any textbook, they might find it useful to supplement required course readings by any up-to-date textbook. The following are particularly recommended (always check for the latest edition, but earlier editions can also be used provided notice is taken of relevant later developments):</w:t>
            </w:r>
          </w:p>
          <w:p w14:paraId="6C2EBDD0" w14:textId="77777777" w:rsidR="00332A0E" w:rsidRPr="00187F34" w:rsidRDefault="00332A0E" w:rsidP="00BE1C2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n-CA"/>
              </w:rPr>
            </w:pPr>
            <w:r w:rsidRPr="00187F34">
              <w:rPr>
                <w:rFonts w:ascii="Arial" w:hAnsi="Arial" w:cs="Arial"/>
                <w:lang w:val="en-CA"/>
              </w:rPr>
              <w:t xml:space="preserve">Malcolm D. Evans (ed.), </w:t>
            </w:r>
            <w:r w:rsidRPr="00187F34">
              <w:rPr>
                <w:rFonts w:ascii="Arial" w:hAnsi="Arial" w:cs="Arial"/>
                <w:i/>
                <w:lang w:val="en-CA"/>
              </w:rPr>
              <w:t>Public International Law</w:t>
            </w:r>
            <w:r w:rsidRPr="00187F34">
              <w:rPr>
                <w:rFonts w:ascii="Arial" w:hAnsi="Arial" w:cs="Arial"/>
                <w:lang w:val="en-CA"/>
              </w:rPr>
              <w:t>, Oxford: Oxford University Press,</w:t>
            </w:r>
            <w:r>
              <w:rPr>
                <w:rFonts w:ascii="Arial" w:hAnsi="Arial" w:cs="Arial"/>
                <w:lang w:val="en-CA"/>
              </w:rPr>
              <w:t xml:space="preserve"> (individual chapters are referred to in ‘additional readings’)</w:t>
            </w:r>
          </w:p>
          <w:p w14:paraId="5834D716" w14:textId="77777777" w:rsidR="00332A0E" w:rsidRDefault="00332A0E" w:rsidP="00BE1C2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Anthony Aust, </w:t>
            </w:r>
            <w:r w:rsidRPr="004B13E3">
              <w:rPr>
                <w:rFonts w:ascii="Arial" w:hAnsi="Arial" w:cs="Arial"/>
                <w:i/>
                <w:lang w:val="en-CA"/>
              </w:rPr>
              <w:t>Handbook of International Law</w:t>
            </w:r>
            <w:r>
              <w:rPr>
                <w:rFonts w:ascii="Arial" w:hAnsi="Arial" w:cs="Arial"/>
                <w:lang w:val="en-CA"/>
              </w:rPr>
              <w:t>, Cambridge: Cambridge University Press,</w:t>
            </w:r>
          </w:p>
          <w:p w14:paraId="7E2C5103" w14:textId="77777777" w:rsidR="00332A0E" w:rsidRPr="00AA5FAF" w:rsidRDefault="00332A0E" w:rsidP="00BE1C26">
            <w:pPr>
              <w:numPr>
                <w:ilvl w:val="0"/>
                <w:numId w:val="8"/>
              </w:numPr>
              <w:tabs>
                <w:tab w:val="left" w:pos="-720"/>
              </w:tabs>
              <w:spacing w:before="60" w:after="60"/>
              <w:ind w:right="85"/>
              <w:jc w:val="both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Malcolm N. Shaw, </w:t>
            </w:r>
            <w:r w:rsidRPr="001C7E12">
              <w:rPr>
                <w:rFonts w:ascii="Arial" w:hAnsi="Arial" w:cs="Arial"/>
                <w:i/>
                <w:lang w:val="en-CA"/>
              </w:rPr>
              <w:t>International Law</w:t>
            </w:r>
            <w:r>
              <w:rPr>
                <w:rFonts w:ascii="Arial" w:hAnsi="Arial" w:cs="Arial"/>
                <w:lang w:val="en-CA"/>
              </w:rPr>
              <w:t xml:space="preserve">, Cambridge: Cambridge University Press, </w:t>
            </w:r>
          </w:p>
          <w:p w14:paraId="052CE11F" w14:textId="77777777" w:rsidR="00332A0E" w:rsidRPr="004063B3" w:rsidRDefault="00332A0E" w:rsidP="00BE1C26">
            <w:pPr>
              <w:numPr>
                <w:ilvl w:val="0"/>
                <w:numId w:val="8"/>
              </w:numPr>
              <w:tabs>
                <w:tab w:val="left" w:pos="-720"/>
              </w:tabs>
              <w:spacing w:before="60" w:after="60"/>
              <w:ind w:right="85"/>
              <w:jc w:val="both"/>
              <w:rPr>
                <w:rFonts w:ascii="Arial" w:hAnsi="Arial" w:cs="Arial"/>
                <w:szCs w:val="20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James Crawford, </w:t>
            </w:r>
            <w:proofErr w:type="spellStart"/>
            <w:r>
              <w:rPr>
                <w:rFonts w:ascii="Arial" w:hAnsi="Arial" w:cs="Arial"/>
                <w:lang w:val="en-CA"/>
              </w:rPr>
              <w:t>Brownlie’s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</w:t>
            </w:r>
            <w:r w:rsidRPr="0060674E">
              <w:rPr>
                <w:rFonts w:ascii="Arial" w:hAnsi="Arial" w:cs="Arial"/>
                <w:i/>
                <w:lang w:val="en-CA"/>
              </w:rPr>
              <w:t>Principles of Public International Law</w:t>
            </w:r>
            <w:r>
              <w:rPr>
                <w:rFonts w:ascii="Arial" w:hAnsi="Arial" w:cs="Arial"/>
                <w:lang w:val="en-CA"/>
              </w:rPr>
              <w:t>, Oxford, Oxford University Press,</w:t>
            </w:r>
          </w:p>
        </w:tc>
      </w:tr>
      <w:tr w:rsidR="00332A0E" w:rsidRPr="004063B3" w14:paraId="6E977A64" w14:textId="77777777" w:rsidTr="00332A0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9534D" w14:textId="77777777" w:rsidR="00332A0E" w:rsidRPr="009239F4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Essential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Texts</w:t>
            </w:r>
            <w:proofErr w:type="spellEnd"/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B13" w14:textId="77777777" w:rsidR="00332A0E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Judgements of the International Court of Justice, relevant international treaties and entries from the Max-Planck Encyclopaedia of Public International Law indicated for each course (see below)</w:t>
            </w:r>
          </w:p>
        </w:tc>
      </w:tr>
      <w:tr w:rsidR="00332A0E" w:rsidRPr="00786B75" w14:paraId="782E86E4" w14:textId="77777777" w:rsidTr="00332A0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F3D26" w14:textId="77777777" w:rsidR="00332A0E" w:rsidRPr="00786B75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b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Cs w:val="20"/>
                <w:lang w:val="en-CA"/>
              </w:rPr>
              <w:t>Supplementary Texts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728" w14:textId="77777777" w:rsidR="00332A0E" w:rsidRPr="003402B3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iCs/>
                <w:szCs w:val="20"/>
                <w:lang w:val="en-CA"/>
              </w:rPr>
              <w:t>Scholarly articles</w:t>
            </w:r>
            <w:r w:rsidRPr="003402B3">
              <w:rPr>
                <w:rFonts w:ascii="Arial" w:hAnsi="Arial" w:cs="Arial"/>
                <w:iCs/>
                <w:szCs w:val="20"/>
                <w:lang w:val="en-CA"/>
              </w:rPr>
              <w:t>, weekly readings (see below)</w:t>
            </w:r>
          </w:p>
        </w:tc>
      </w:tr>
      <w:tr w:rsidR="00332A0E" w:rsidRPr="00786B75" w14:paraId="1E56BC7E" w14:textId="77777777" w:rsidTr="00332A0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9BF1B" w14:textId="77777777" w:rsidR="00332A0E" w:rsidRPr="00786B75" w:rsidRDefault="00332A0E" w:rsidP="00BE1C26">
            <w:pPr>
              <w:tabs>
                <w:tab w:val="left" w:pos="-720"/>
              </w:tabs>
              <w:spacing w:before="100" w:beforeAutospacing="1" w:after="100" w:afterAutospacing="1"/>
              <w:ind w:right="84"/>
              <w:jc w:val="center"/>
              <w:rPr>
                <w:rFonts w:ascii="Arial" w:hAnsi="Arial" w:cs="Arial"/>
                <w:b/>
                <w:szCs w:val="20"/>
                <w:lang w:val="en-CA"/>
              </w:rPr>
            </w:pPr>
            <w:r w:rsidRPr="00786B75">
              <w:rPr>
                <w:rFonts w:ascii="Arial" w:hAnsi="Arial" w:cs="Arial"/>
                <w:b/>
                <w:szCs w:val="20"/>
                <w:lang w:val="en-CA"/>
              </w:rPr>
              <w:t>Assessment</w:t>
            </w:r>
          </w:p>
        </w:tc>
        <w:tc>
          <w:tcPr>
            <w:tcW w:w="3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667" w14:textId="77777777" w:rsidR="00332A0E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 w:rsidRPr="00786B75">
              <w:rPr>
                <w:rFonts w:ascii="Arial" w:hAnsi="Arial" w:cs="Arial"/>
                <w:lang w:val="en-CA"/>
              </w:rPr>
              <w:t xml:space="preserve">A take-home exam consisting of several questions </w:t>
            </w:r>
            <w:r>
              <w:rPr>
                <w:rFonts w:ascii="Arial" w:hAnsi="Arial" w:cs="Arial"/>
                <w:lang w:val="en-CA"/>
              </w:rPr>
              <w:t xml:space="preserve">(usually three) </w:t>
            </w:r>
            <w:r w:rsidRPr="00786B75">
              <w:rPr>
                <w:rFonts w:ascii="Arial" w:hAnsi="Arial" w:cs="Arial"/>
                <w:lang w:val="en-CA"/>
              </w:rPr>
              <w:t xml:space="preserve">covering diverse subjects studied will be distributed at the end of the last class. </w:t>
            </w:r>
            <w:r>
              <w:rPr>
                <w:rFonts w:ascii="Arial" w:hAnsi="Arial" w:cs="Arial"/>
                <w:lang w:val="en-CA"/>
              </w:rPr>
              <w:t xml:space="preserve">Students will have to answer questions using cases and literature studied in class in an essay style. </w:t>
            </w:r>
            <w:r w:rsidRPr="00786B75">
              <w:rPr>
                <w:rFonts w:ascii="Arial" w:hAnsi="Arial" w:cs="Arial"/>
                <w:lang w:val="en-CA"/>
              </w:rPr>
              <w:t xml:space="preserve">More </w:t>
            </w:r>
            <w:r>
              <w:rPr>
                <w:rFonts w:ascii="Arial" w:hAnsi="Arial" w:cs="Arial"/>
                <w:lang w:val="en-CA"/>
              </w:rPr>
              <w:t xml:space="preserve">clarifications will be provided during the first class; </w:t>
            </w:r>
            <w:r w:rsidRPr="00786B75">
              <w:rPr>
                <w:rFonts w:ascii="Arial" w:hAnsi="Arial" w:cs="Arial"/>
                <w:lang w:val="en-CA"/>
              </w:rPr>
              <w:t>detailed instruct</w:t>
            </w:r>
            <w:r>
              <w:rPr>
                <w:rFonts w:ascii="Arial" w:hAnsi="Arial" w:cs="Arial"/>
                <w:lang w:val="en-CA"/>
              </w:rPr>
              <w:t>ions will be given when the exam questions are distributed (last class) (80%).</w:t>
            </w:r>
          </w:p>
          <w:p w14:paraId="5C0A9DDB" w14:textId="77777777" w:rsidR="00332A0E" w:rsidRPr="00786B75" w:rsidRDefault="00332A0E" w:rsidP="00BE1C26">
            <w:pPr>
              <w:jc w:val="both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Students are also required to make a presentation on one of the cases studied in class (10 min max). This presentation shall be accompanied by a written summary (1-2 pages) to be shared with other students on the day of the presentation. (20%)</w:t>
            </w:r>
          </w:p>
        </w:tc>
      </w:tr>
    </w:tbl>
    <w:p w14:paraId="0089F0C3" w14:textId="77777777" w:rsidR="00332A0E" w:rsidRPr="004F3D34" w:rsidRDefault="00332A0E" w:rsidP="00332A0E">
      <w:pPr>
        <w:pStyle w:val="Heading2"/>
        <w:rPr>
          <w:szCs w:val="20"/>
          <w:lang w:val="en-GB"/>
        </w:rPr>
      </w:pPr>
    </w:p>
    <w:p w14:paraId="46E62B27" w14:textId="77777777" w:rsidR="00332A0E" w:rsidRPr="000E3A61" w:rsidRDefault="00332A0E" w:rsidP="00332A0E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0712477F" w14:textId="459F7FF6" w:rsidR="00332A0E" w:rsidRPr="000E3A61" w:rsidRDefault="00332A0E" w:rsidP="00332A0E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CA"/>
        </w:rPr>
      </w:pPr>
      <w:r w:rsidRPr="000E3A61">
        <w:rPr>
          <w:rFonts w:ascii="Arial" w:hAnsi="Arial" w:cs="Arial"/>
          <w:b/>
          <w:lang w:val="en-CA"/>
        </w:rPr>
        <w:lastRenderedPageBreak/>
        <w:t>WEEK 1</w:t>
      </w:r>
      <w:r>
        <w:rPr>
          <w:rFonts w:ascii="Arial" w:hAnsi="Arial" w:cs="Arial"/>
          <w:b/>
          <w:lang w:val="en-CA"/>
        </w:rPr>
        <w:t xml:space="preserve"> (19 September 2019)</w:t>
      </w:r>
    </w:p>
    <w:p w14:paraId="634D8749" w14:textId="77777777" w:rsidR="00332A0E" w:rsidRDefault="00332A0E" w:rsidP="00332A0E">
      <w:pPr>
        <w:keepNext/>
        <w:rPr>
          <w:rFonts w:ascii="Arial" w:hAnsi="Arial" w:cs="Arial"/>
          <w:smallCaps/>
          <w:lang w:val="en-CA"/>
        </w:rPr>
      </w:pPr>
    </w:p>
    <w:p w14:paraId="304BE58B" w14:textId="77777777" w:rsidR="00332A0E" w:rsidRPr="00E20554" w:rsidRDefault="00332A0E" w:rsidP="00332A0E">
      <w:pPr>
        <w:keepNext/>
        <w:rPr>
          <w:rFonts w:ascii="Arial" w:hAnsi="Arial" w:cs="Arial"/>
          <w:smallCaps/>
          <w:lang w:val="en-CA"/>
        </w:rPr>
      </w:pPr>
      <w:r w:rsidRPr="00E20554">
        <w:rPr>
          <w:rFonts w:ascii="Arial" w:hAnsi="Arial" w:cs="Arial"/>
          <w:smallCaps/>
          <w:lang w:val="en-CA"/>
        </w:rPr>
        <w:t>Introduction</w:t>
      </w:r>
    </w:p>
    <w:p w14:paraId="6AB1E028" w14:textId="77777777" w:rsidR="00332A0E" w:rsidRPr="00E20554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</w:p>
    <w:p w14:paraId="44F1567E" w14:textId="77777777" w:rsidR="00332A0E" w:rsidRPr="00E20554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  <w:r w:rsidRPr="00E20554">
        <w:rPr>
          <w:rFonts w:ascii="Arial" w:hAnsi="Arial" w:cs="Arial"/>
          <w:b/>
          <w:lang w:val="en-CA"/>
        </w:rPr>
        <w:t>1. Definition of public international law</w:t>
      </w:r>
    </w:p>
    <w:p w14:paraId="798FF231" w14:textId="77777777" w:rsidR="00332A0E" w:rsidRPr="00E20554" w:rsidRDefault="00332A0E" w:rsidP="00332A0E">
      <w:pPr>
        <w:keepNext/>
        <w:jc w:val="both"/>
        <w:rPr>
          <w:rFonts w:ascii="Arial" w:hAnsi="Arial" w:cs="Arial"/>
          <w:lang w:val="en-CA"/>
        </w:rPr>
      </w:pPr>
    </w:p>
    <w:p w14:paraId="224B3A83" w14:textId="77777777" w:rsidR="00332A0E" w:rsidRPr="007C0DDC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2</w:t>
      </w:r>
      <w:r w:rsidRPr="007C0DDC">
        <w:rPr>
          <w:rFonts w:ascii="Arial" w:hAnsi="Arial" w:cs="Arial"/>
          <w:b/>
          <w:lang w:val="en-CA"/>
        </w:rPr>
        <w:t>. Overview of the historical development of public international law</w:t>
      </w:r>
    </w:p>
    <w:p w14:paraId="3B107F0B" w14:textId="77777777" w:rsidR="00332A0E" w:rsidRPr="00E91904" w:rsidRDefault="00332A0E" w:rsidP="00332A0E">
      <w:pPr>
        <w:keepNext/>
        <w:jc w:val="both"/>
        <w:rPr>
          <w:rFonts w:ascii="Arial" w:hAnsi="Arial" w:cs="Arial"/>
          <w:lang w:val="en-CA"/>
        </w:rPr>
      </w:pPr>
      <w:r w:rsidRPr="004B13E3">
        <w:rPr>
          <w:rFonts w:ascii="Arial" w:hAnsi="Arial" w:cs="Arial"/>
          <w:i/>
          <w:lang w:val="en-CA"/>
        </w:rPr>
        <w:t xml:space="preserve">Jus inter </w:t>
      </w:r>
      <w:proofErr w:type="spellStart"/>
      <w:r w:rsidRPr="004B13E3">
        <w:rPr>
          <w:rFonts w:ascii="Arial" w:hAnsi="Arial" w:cs="Arial"/>
          <w:i/>
          <w:lang w:val="en-CA"/>
        </w:rPr>
        <w:t>gentes</w:t>
      </w:r>
      <w:proofErr w:type="spellEnd"/>
      <w:r w:rsidRPr="00E91904">
        <w:rPr>
          <w:rFonts w:ascii="Arial" w:hAnsi="Arial" w:cs="Arial"/>
          <w:lang w:val="en-CA"/>
        </w:rPr>
        <w:t xml:space="preserve"> – end of the medieval society – foundational myth: treaty of Westphalia – </w:t>
      </w:r>
      <w:r>
        <w:rPr>
          <w:rFonts w:ascii="Arial" w:hAnsi="Arial" w:cs="Arial"/>
          <w:lang w:val="en-CA"/>
        </w:rPr>
        <w:t>Congress of Vienna 1815 – League of Nations 1919</w:t>
      </w:r>
      <w:r w:rsidRPr="00E91904">
        <w:rPr>
          <w:rFonts w:ascii="Arial" w:hAnsi="Arial" w:cs="Arial"/>
          <w:lang w:val="en-CA"/>
        </w:rPr>
        <w:t xml:space="preserve"> – </w:t>
      </w:r>
      <w:r>
        <w:rPr>
          <w:rFonts w:ascii="Arial" w:hAnsi="Arial" w:cs="Arial"/>
          <w:lang w:val="en-CA"/>
        </w:rPr>
        <w:t>creation of the United Nations</w:t>
      </w:r>
    </w:p>
    <w:p w14:paraId="02E69F78" w14:textId="77777777" w:rsidR="00332A0E" w:rsidRPr="00E91904" w:rsidRDefault="00332A0E" w:rsidP="00332A0E">
      <w:pPr>
        <w:keepNext/>
        <w:jc w:val="both"/>
        <w:rPr>
          <w:rFonts w:ascii="Arial" w:hAnsi="Arial" w:cs="Arial"/>
          <w:lang w:val="en-CA"/>
        </w:rPr>
      </w:pPr>
    </w:p>
    <w:p w14:paraId="6480633B" w14:textId="77777777" w:rsidR="00332A0E" w:rsidRPr="00934CA3" w:rsidRDefault="00332A0E" w:rsidP="00332A0E">
      <w:pPr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3</w:t>
      </w:r>
      <w:r w:rsidRPr="00934CA3">
        <w:rPr>
          <w:rFonts w:ascii="Arial" w:hAnsi="Arial" w:cs="Arial"/>
          <w:b/>
          <w:lang w:val="en-CA"/>
        </w:rPr>
        <w:t>. Modern theories and discussions</w:t>
      </w:r>
    </w:p>
    <w:p w14:paraId="2C6BC7D2" w14:textId="77777777" w:rsidR="00332A0E" w:rsidRPr="00934CA3" w:rsidRDefault="00332A0E" w:rsidP="00332A0E">
      <w:pPr>
        <w:jc w:val="both"/>
        <w:rPr>
          <w:rFonts w:ascii="Arial" w:hAnsi="Arial" w:cs="Arial"/>
          <w:lang w:val="en-CA"/>
        </w:rPr>
      </w:pPr>
    </w:p>
    <w:p w14:paraId="3DDD97A9" w14:textId="77777777" w:rsidR="00332A0E" w:rsidRDefault="00332A0E" w:rsidP="00332A0E">
      <w:pPr>
        <w:rPr>
          <w:rFonts w:ascii="Arial" w:hAnsi="Arial" w:cs="Arial"/>
          <w:bCs/>
          <w:u w:val="single"/>
          <w:lang w:val="en-GB"/>
        </w:rPr>
      </w:pPr>
      <w:r w:rsidRPr="009D7A69">
        <w:rPr>
          <w:rFonts w:ascii="Arial" w:hAnsi="Arial" w:cs="Arial"/>
          <w:bCs/>
          <w:u w:val="single"/>
          <w:lang w:val="en-GB"/>
        </w:rPr>
        <w:t xml:space="preserve">Readings: </w:t>
      </w:r>
    </w:p>
    <w:p w14:paraId="790FF619" w14:textId="77777777" w:rsidR="00332A0E" w:rsidRDefault="00332A0E" w:rsidP="00332A0E">
      <w:pPr>
        <w:numPr>
          <w:ilvl w:val="0"/>
          <w:numId w:val="6"/>
        </w:numPr>
        <w:ind w:left="714" w:hanging="357"/>
        <w:rPr>
          <w:rFonts w:ascii="Arial" w:hAnsi="Arial" w:cs="Arial"/>
          <w:lang w:val="en-GB"/>
        </w:rPr>
      </w:pPr>
      <w:r w:rsidRPr="001C7E12">
        <w:rPr>
          <w:rFonts w:ascii="Arial" w:hAnsi="Arial" w:cs="Arial"/>
          <w:i/>
          <w:lang w:val="en-GB"/>
        </w:rPr>
        <w:t>Shaw's International Law</w:t>
      </w:r>
      <w:r w:rsidRPr="00934CA3">
        <w:rPr>
          <w:rFonts w:ascii="Arial" w:hAnsi="Arial" w:cs="Arial"/>
          <w:lang w:val="en-GB"/>
        </w:rPr>
        <w:t xml:space="preserve"> (Cambridge Univ</w:t>
      </w:r>
      <w:r>
        <w:rPr>
          <w:rFonts w:ascii="Arial" w:hAnsi="Arial" w:cs="Arial"/>
          <w:lang w:val="en-GB"/>
        </w:rPr>
        <w:t>ersity Press)</w:t>
      </w:r>
      <w:r w:rsidRPr="00934CA3">
        <w:rPr>
          <w:rFonts w:ascii="Arial" w:hAnsi="Arial" w:cs="Arial"/>
          <w:lang w:val="en-GB"/>
        </w:rPr>
        <w:t xml:space="preserve">, Chapter 1, excerpt </w:t>
      </w:r>
      <w:hyperlink r:id="rId10" w:anchor="PhezwPl0UuKwVb5y.97" w:history="1">
        <w:r w:rsidRPr="00934CA3">
          <w:rPr>
            <w:rFonts w:ascii="Arial" w:hAnsi="Arial" w:cs="Arial"/>
            <w:color w:val="0000FF"/>
            <w:u w:val="single"/>
            <w:lang w:val="en-GB"/>
          </w:rPr>
          <w:t>The nature and development of international law</w:t>
        </w:r>
      </w:hyperlink>
      <w:r w:rsidRPr="00934CA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(under ‘Contents’, marketing excerpt)</w:t>
      </w:r>
    </w:p>
    <w:p w14:paraId="746116C3" w14:textId="77777777" w:rsidR="00332A0E" w:rsidRDefault="00332A0E" w:rsidP="00332A0E">
      <w:pPr>
        <w:numPr>
          <w:ilvl w:val="0"/>
          <w:numId w:val="6"/>
        </w:numPr>
        <w:ind w:left="714" w:hanging="357"/>
        <w:rPr>
          <w:rFonts w:ascii="Arial" w:hAnsi="Arial" w:cs="Arial"/>
          <w:lang w:val="en-GB"/>
        </w:rPr>
      </w:pPr>
      <w:r w:rsidRPr="00934CA3">
        <w:rPr>
          <w:rFonts w:ascii="Arial" w:hAnsi="Arial" w:cs="Arial"/>
          <w:lang w:val="en-GB"/>
        </w:rPr>
        <w:t xml:space="preserve">M. </w:t>
      </w:r>
      <w:proofErr w:type="spellStart"/>
      <w:r w:rsidRPr="00934CA3">
        <w:rPr>
          <w:rFonts w:ascii="Arial" w:hAnsi="Arial" w:cs="Arial"/>
          <w:lang w:val="en-GB"/>
        </w:rPr>
        <w:t>Koskenniemi</w:t>
      </w:r>
      <w:proofErr w:type="spellEnd"/>
      <w:r w:rsidRPr="00934CA3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“What is International Law For?”</w:t>
      </w:r>
      <w:r w:rsidRPr="00934CA3">
        <w:rPr>
          <w:rFonts w:ascii="Arial" w:hAnsi="Arial" w:cs="Arial"/>
          <w:lang w:val="en-GB"/>
        </w:rPr>
        <w:t xml:space="preserve">, in M. 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</w:t>
      </w:r>
      <w:r w:rsidRPr="00934CA3">
        <w:rPr>
          <w:rFonts w:ascii="Arial" w:hAnsi="Arial" w:cs="Arial"/>
          <w:lang w:val="en-GB"/>
        </w:rPr>
        <w:t>)</w:t>
      </w:r>
    </w:p>
    <w:p w14:paraId="4BB33671" w14:textId="77777777" w:rsidR="00332A0E" w:rsidRDefault="00332A0E" w:rsidP="00332A0E">
      <w:pPr>
        <w:ind w:left="357"/>
        <w:rPr>
          <w:rFonts w:ascii="Arial" w:hAnsi="Arial" w:cs="Arial"/>
          <w:lang w:val="en-GB"/>
        </w:rPr>
      </w:pPr>
    </w:p>
    <w:p w14:paraId="353C73C7" w14:textId="77777777" w:rsidR="00332A0E" w:rsidRDefault="00332A0E" w:rsidP="00332A0E">
      <w:pPr>
        <w:rPr>
          <w:rFonts w:ascii="Arial" w:hAnsi="Arial" w:cs="Arial"/>
          <w:lang w:val="en-GB"/>
        </w:rPr>
      </w:pPr>
      <w:r w:rsidRPr="009D7A69">
        <w:rPr>
          <w:rFonts w:ascii="Arial" w:hAnsi="Arial" w:cs="Arial"/>
          <w:bCs/>
          <w:u w:val="single"/>
          <w:lang w:val="en-GB"/>
        </w:rPr>
        <w:t>Additional reading</w:t>
      </w:r>
      <w:r>
        <w:rPr>
          <w:rFonts w:ascii="Arial" w:hAnsi="Arial" w:cs="Arial"/>
          <w:bCs/>
          <w:u w:val="single"/>
          <w:lang w:val="en-GB"/>
        </w:rPr>
        <w:t>s</w:t>
      </w:r>
      <w:r w:rsidRPr="009D7A69">
        <w:rPr>
          <w:rFonts w:ascii="Arial" w:hAnsi="Arial" w:cs="Arial"/>
          <w:u w:val="single"/>
          <w:lang w:val="en-GB"/>
        </w:rPr>
        <w:t xml:space="preserve">: </w:t>
      </w:r>
    </w:p>
    <w:p w14:paraId="6B327441" w14:textId="77777777" w:rsidR="00332A0E" w:rsidRPr="00934CA3" w:rsidRDefault="00332A0E" w:rsidP="00332A0E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934CA3">
        <w:rPr>
          <w:rFonts w:ascii="Arial" w:hAnsi="Arial" w:cs="Arial"/>
          <w:lang w:val="en-GB"/>
        </w:rPr>
        <w:t>M.W. Janis '</w:t>
      </w:r>
      <w:hyperlink r:id="rId11" w:history="1">
        <w:r w:rsidRPr="00934CA3">
          <w:rPr>
            <w:rFonts w:ascii="Arial" w:hAnsi="Arial" w:cs="Arial"/>
            <w:color w:val="0000FF"/>
            <w:u w:val="single"/>
            <w:lang w:val="en-GB"/>
          </w:rPr>
          <w:t>International Law?</w:t>
        </w:r>
      </w:hyperlink>
      <w:r w:rsidRPr="00934CA3">
        <w:rPr>
          <w:rFonts w:ascii="Arial" w:hAnsi="Arial" w:cs="Arial"/>
          <w:lang w:val="en-GB"/>
        </w:rPr>
        <w:t xml:space="preserve">' 32 </w:t>
      </w:r>
      <w:r w:rsidRPr="00934CA3">
        <w:rPr>
          <w:rFonts w:ascii="Arial" w:hAnsi="Arial" w:cs="Arial"/>
          <w:i/>
          <w:iCs/>
          <w:lang w:val="en-GB"/>
        </w:rPr>
        <w:t>Harvard Journal of International Law</w:t>
      </w:r>
      <w:r w:rsidRPr="00934CA3">
        <w:rPr>
          <w:rFonts w:ascii="Arial" w:hAnsi="Arial" w:cs="Arial"/>
          <w:lang w:val="en-GB"/>
        </w:rPr>
        <w:t xml:space="preserve"> (1991) 363-372.</w:t>
      </w:r>
    </w:p>
    <w:p w14:paraId="09A2CF16" w14:textId="77777777" w:rsidR="00332A0E" w:rsidRDefault="00332A0E" w:rsidP="00332A0E">
      <w:pPr>
        <w:jc w:val="both"/>
        <w:rPr>
          <w:rFonts w:ascii="Arial" w:hAnsi="Arial" w:cs="Arial"/>
          <w:lang w:val="en-CA"/>
        </w:rPr>
      </w:pPr>
    </w:p>
    <w:p w14:paraId="45EF4101" w14:textId="06B6D2AD" w:rsidR="00332A0E" w:rsidRPr="00333993" w:rsidRDefault="00332A0E" w:rsidP="00332A0E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WEEK 2, 3 and 4</w:t>
      </w:r>
      <w:r>
        <w:rPr>
          <w:rStyle w:val="FootnoteReference"/>
          <w:rFonts w:ascii="Arial" w:eastAsiaTheme="majorEastAsia" w:hAnsi="Arial" w:cs="Arial"/>
          <w:lang w:val="en-CA"/>
        </w:rPr>
        <w:footnoteReference w:id="1"/>
      </w:r>
      <w:r>
        <w:rPr>
          <w:rFonts w:ascii="Arial" w:hAnsi="Arial" w:cs="Arial"/>
          <w:b/>
          <w:lang w:val="en-CA"/>
        </w:rPr>
        <w:t xml:space="preserve"> (26 </w:t>
      </w:r>
      <w:proofErr w:type="gramStart"/>
      <w:r>
        <w:rPr>
          <w:rFonts w:ascii="Arial" w:hAnsi="Arial" w:cs="Arial"/>
          <w:b/>
          <w:lang w:val="en-CA"/>
        </w:rPr>
        <w:t>September,</w:t>
      </w:r>
      <w:proofErr w:type="gramEnd"/>
      <w:r>
        <w:rPr>
          <w:rFonts w:ascii="Arial" w:hAnsi="Arial" w:cs="Arial"/>
          <w:b/>
          <w:lang w:val="en-CA"/>
        </w:rPr>
        <w:t xml:space="preserve"> 3 and 10 October 2019)</w:t>
      </w:r>
    </w:p>
    <w:p w14:paraId="069D9E2E" w14:textId="77777777" w:rsidR="00332A0E" w:rsidRDefault="00332A0E" w:rsidP="00332A0E">
      <w:pPr>
        <w:rPr>
          <w:rFonts w:ascii="Arial" w:hAnsi="Arial" w:cs="Arial"/>
          <w:smallCaps/>
          <w:lang w:val="en-CA"/>
        </w:rPr>
      </w:pPr>
    </w:p>
    <w:p w14:paraId="67CA03E1" w14:textId="77777777" w:rsidR="00332A0E" w:rsidRPr="00934CA3" w:rsidRDefault="00332A0E" w:rsidP="00332A0E">
      <w:pPr>
        <w:rPr>
          <w:rFonts w:ascii="Arial" w:hAnsi="Arial" w:cs="Arial"/>
          <w:smallCaps/>
          <w:lang w:val="en-CA"/>
        </w:rPr>
      </w:pPr>
      <w:r w:rsidRPr="00934CA3">
        <w:rPr>
          <w:rFonts w:ascii="Arial" w:hAnsi="Arial" w:cs="Arial"/>
          <w:smallCaps/>
          <w:lang w:val="en-CA"/>
        </w:rPr>
        <w:t>Sources and Norms of Public International Law</w:t>
      </w:r>
    </w:p>
    <w:p w14:paraId="4C03BF48" w14:textId="77777777" w:rsidR="00332A0E" w:rsidRPr="00934CA3" w:rsidRDefault="00332A0E" w:rsidP="00332A0E">
      <w:pPr>
        <w:jc w:val="center"/>
        <w:rPr>
          <w:rFonts w:ascii="Arial" w:hAnsi="Arial" w:cs="Arial"/>
          <w:smallCaps/>
          <w:lang w:val="en-CA"/>
        </w:rPr>
      </w:pPr>
    </w:p>
    <w:p w14:paraId="46CE0040" w14:textId="77777777" w:rsidR="00332A0E" w:rsidRPr="00934CA3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934CA3">
        <w:rPr>
          <w:rFonts w:ascii="Arial" w:hAnsi="Arial" w:cs="Arial"/>
          <w:b/>
          <w:lang w:val="en-CA"/>
        </w:rPr>
        <w:t>1. Theory of sources of public international law</w:t>
      </w:r>
    </w:p>
    <w:p w14:paraId="67EC81F2" w14:textId="77777777" w:rsidR="00332A0E" w:rsidRPr="00934CA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934CA3">
        <w:rPr>
          <w:rFonts w:ascii="Arial" w:hAnsi="Arial" w:cs="Arial"/>
          <w:lang w:val="en-CA"/>
        </w:rPr>
        <w:t>a) Distinction between the source and the norm</w:t>
      </w:r>
    </w:p>
    <w:p w14:paraId="774213ED" w14:textId="77777777" w:rsidR="00332A0E" w:rsidRPr="00934CA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b) Distinction between formal sources and material sources</w:t>
      </w:r>
    </w:p>
    <w:p w14:paraId="3D036455" w14:textId="77777777" w:rsidR="00332A0E" w:rsidRPr="00934CA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</w:t>
      </w:r>
      <w:r w:rsidRPr="00934CA3">
        <w:rPr>
          <w:rFonts w:ascii="Arial" w:hAnsi="Arial" w:cs="Arial"/>
          <w:lang w:val="en-CA"/>
        </w:rPr>
        <w:t>) Article 38 of the Statute of the International Court of Justice</w:t>
      </w:r>
    </w:p>
    <w:p w14:paraId="462CE6D2" w14:textId="77777777" w:rsidR="00332A0E" w:rsidRPr="00934CA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d) Relationship between </w:t>
      </w:r>
      <w:r w:rsidRPr="00934CA3">
        <w:rPr>
          <w:rFonts w:ascii="Arial" w:hAnsi="Arial" w:cs="Arial"/>
          <w:lang w:val="en-CA"/>
        </w:rPr>
        <w:t>sources of public international law</w:t>
      </w:r>
    </w:p>
    <w:p w14:paraId="439FED3E" w14:textId="77777777" w:rsidR="00332A0E" w:rsidRPr="00934CA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e) Relationship between</w:t>
      </w:r>
      <w:r w:rsidRPr="00934CA3">
        <w:rPr>
          <w:rFonts w:ascii="Arial" w:hAnsi="Arial" w:cs="Arial"/>
          <w:lang w:val="en-CA"/>
        </w:rPr>
        <w:t xml:space="preserve"> norms of public international law</w:t>
      </w:r>
    </w:p>
    <w:p w14:paraId="695D2D07" w14:textId="77777777" w:rsidR="00332A0E" w:rsidRPr="00136C53" w:rsidRDefault="00332A0E" w:rsidP="00332A0E">
      <w:pPr>
        <w:jc w:val="both"/>
        <w:rPr>
          <w:rFonts w:ascii="Arial" w:hAnsi="Arial" w:cs="Arial"/>
          <w:lang w:val="fr-CH"/>
        </w:rPr>
      </w:pPr>
    </w:p>
    <w:p w14:paraId="369546A7" w14:textId="77777777" w:rsidR="00332A0E" w:rsidRPr="00333993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333993">
        <w:rPr>
          <w:rFonts w:ascii="Arial" w:hAnsi="Arial" w:cs="Arial"/>
          <w:b/>
          <w:lang w:val="en-CA"/>
        </w:rPr>
        <w:t>2. International treaties</w:t>
      </w:r>
    </w:p>
    <w:p w14:paraId="17C437BB" w14:textId="77777777" w:rsidR="00332A0E" w:rsidRPr="0033399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333993">
        <w:rPr>
          <w:rFonts w:ascii="Arial" w:hAnsi="Arial" w:cs="Arial"/>
          <w:lang w:val="en-CA"/>
        </w:rPr>
        <w:t>a) Definition and categories</w:t>
      </w:r>
    </w:p>
    <w:p w14:paraId="5D9ACA36" w14:textId="77777777" w:rsidR="00332A0E" w:rsidRPr="0033399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333993">
        <w:rPr>
          <w:rFonts w:ascii="Arial" w:hAnsi="Arial" w:cs="Arial"/>
          <w:lang w:val="en-CA"/>
        </w:rPr>
        <w:t>b) Conclusion of treaties</w:t>
      </w:r>
    </w:p>
    <w:p w14:paraId="164C6C2F" w14:textId="77777777" w:rsidR="00332A0E" w:rsidRPr="0033399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333993">
        <w:rPr>
          <w:rFonts w:ascii="Arial" w:hAnsi="Arial" w:cs="Arial"/>
          <w:lang w:val="en-CA"/>
        </w:rPr>
        <w:t>c) Reservations to international treaties</w:t>
      </w:r>
    </w:p>
    <w:p w14:paraId="0CDF1680" w14:textId="77777777" w:rsidR="00332A0E" w:rsidRPr="0033399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333993">
        <w:rPr>
          <w:rFonts w:ascii="Arial" w:hAnsi="Arial" w:cs="Arial"/>
          <w:lang w:val="en-CA"/>
        </w:rPr>
        <w:t>d) Validity of treaties</w:t>
      </w:r>
    </w:p>
    <w:p w14:paraId="656EF4A7" w14:textId="77777777" w:rsidR="00332A0E" w:rsidRPr="0033399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333993">
        <w:rPr>
          <w:rFonts w:ascii="Arial" w:hAnsi="Arial" w:cs="Arial"/>
          <w:lang w:val="en-CA"/>
        </w:rPr>
        <w:t>e) Application of tr</w:t>
      </w:r>
      <w:r>
        <w:rPr>
          <w:rFonts w:ascii="Arial" w:hAnsi="Arial" w:cs="Arial"/>
          <w:lang w:val="en-CA"/>
        </w:rPr>
        <w:t>e</w:t>
      </w:r>
      <w:r w:rsidRPr="00333993">
        <w:rPr>
          <w:rFonts w:ascii="Arial" w:hAnsi="Arial" w:cs="Arial"/>
          <w:lang w:val="en-CA"/>
        </w:rPr>
        <w:t>aties</w:t>
      </w:r>
    </w:p>
    <w:p w14:paraId="6CACA7CC" w14:textId="77777777" w:rsidR="00332A0E" w:rsidRPr="00333993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333993">
        <w:rPr>
          <w:rFonts w:ascii="Arial" w:hAnsi="Arial" w:cs="Arial"/>
          <w:lang w:val="en-CA"/>
        </w:rPr>
        <w:t xml:space="preserve">f) Modifications </w:t>
      </w:r>
      <w:r>
        <w:rPr>
          <w:rFonts w:ascii="Arial" w:hAnsi="Arial" w:cs="Arial"/>
          <w:lang w:val="en-CA"/>
        </w:rPr>
        <w:t>and termination</w:t>
      </w:r>
      <w:r w:rsidRPr="00333993">
        <w:rPr>
          <w:rFonts w:ascii="Arial" w:hAnsi="Arial" w:cs="Arial"/>
          <w:lang w:val="en-CA"/>
        </w:rPr>
        <w:t xml:space="preserve"> of treaties</w:t>
      </w:r>
    </w:p>
    <w:p w14:paraId="36AE23FD" w14:textId="77777777" w:rsidR="00332A0E" w:rsidRPr="00333993" w:rsidRDefault="00332A0E" w:rsidP="00332A0E">
      <w:pPr>
        <w:jc w:val="both"/>
        <w:rPr>
          <w:rFonts w:ascii="Arial" w:hAnsi="Arial" w:cs="Arial"/>
          <w:lang w:val="en-CA"/>
        </w:rPr>
      </w:pPr>
    </w:p>
    <w:p w14:paraId="51A76385" w14:textId="77777777" w:rsidR="00332A0E" w:rsidRDefault="00332A0E" w:rsidP="00332A0E">
      <w:pPr>
        <w:rPr>
          <w:rFonts w:ascii="Arial" w:hAnsi="Arial" w:cs="Arial"/>
          <w:bCs/>
          <w:u w:val="single"/>
          <w:lang w:val="en-GB"/>
        </w:rPr>
      </w:pPr>
      <w:r w:rsidRPr="009D7A69">
        <w:rPr>
          <w:rFonts w:ascii="Arial" w:hAnsi="Arial" w:cs="Arial"/>
          <w:bCs/>
          <w:u w:val="single"/>
          <w:lang w:val="en-GB"/>
        </w:rPr>
        <w:t xml:space="preserve">Readings: </w:t>
      </w:r>
    </w:p>
    <w:p w14:paraId="1DA1D184" w14:textId="77777777" w:rsidR="00332A0E" w:rsidRDefault="00332A0E" w:rsidP="00332A0E">
      <w:pPr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5D116C">
        <w:rPr>
          <w:rStyle w:val="textvc101"/>
          <w:rFonts w:ascii="Arial" w:eastAsiaTheme="minorEastAsia" w:hAnsi="Arial"/>
          <w:color w:val="000000" w:themeColor="text1"/>
          <w:sz w:val="22"/>
          <w:szCs w:val="22"/>
          <w:lang w:val="en-CA"/>
        </w:rPr>
        <w:t>Article 38 of the</w:t>
      </w:r>
      <w:r w:rsidRPr="005D116C">
        <w:rPr>
          <w:rStyle w:val="textvc101"/>
          <w:rFonts w:eastAsiaTheme="minorEastAsia"/>
          <w:color w:val="000000" w:themeColor="text1"/>
          <w:lang w:val="en-CA"/>
        </w:rPr>
        <w:t xml:space="preserve"> </w:t>
      </w:r>
      <w:r w:rsidRPr="00333993">
        <w:rPr>
          <w:rFonts w:ascii="Arial" w:hAnsi="Arial" w:cs="Arial"/>
          <w:lang w:val="en-CA"/>
        </w:rPr>
        <w:t>Statute of the International Court of Justice</w:t>
      </w:r>
    </w:p>
    <w:p w14:paraId="63EF7384" w14:textId="77777777" w:rsidR="00332A0E" w:rsidRPr="00333993" w:rsidRDefault="00332A0E" w:rsidP="00332A0E">
      <w:pPr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333993">
        <w:rPr>
          <w:rFonts w:ascii="Arial" w:hAnsi="Arial" w:cs="Arial"/>
          <w:lang w:val="en-CA"/>
        </w:rPr>
        <w:t xml:space="preserve">Vienna Convention on the Law of Treaties, 1969 available at </w:t>
      </w:r>
      <w:r>
        <w:rPr>
          <w:rFonts w:ascii="Arial" w:hAnsi="Arial" w:cs="Arial"/>
          <w:lang w:val="en-CA"/>
        </w:rPr>
        <w:t>online.</w:t>
      </w:r>
    </w:p>
    <w:p w14:paraId="742F827D" w14:textId="77777777" w:rsidR="00332A0E" w:rsidRPr="00881B5E" w:rsidRDefault="00332A0E" w:rsidP="00332A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CF775E">
        <w:rPr>
          <w:rFonts w:ascii="Arial" w:hAnsi="Arial" w:cs="Arial"/>
          <w:bCs/>
          <w:iCs/>
          <w:lang w:val="en-CA"/>
        </w:rPr>
        <w:t xml:space="preserve">General Comment No. 24: Issues relating to reservations made upon ratification or accession to the Covenant or the Optional Protocols thereto, or in relation to </w:t>
      </w:r>
      <w:r w:rsidRPr="00CF775E">
        <w:rPr>
          <w:rFonts w:ascii="Arial" w:hAnsi="Arial" w:cs="Arial"/>
          <w:bCs/>
          <w:iCs/>
          <w:lang w:val="en-CA"/>
        </w:rPr>
        <w:lastRenderedPageBreak/>
        <w:t>declarations under article 41 of the Covenant</w:t>
      </w:r>
      <w:r w:rsidRPr="00881B5E">
        <w:rPr>
          <w:rFonts w:ascii="Arial" w:hAnsi="Arial" w:cs="Arial"/>
          <w:lang w:val="en-CA"/>
        </w:rPr>
        <w:t xml:space="preserve">, Doc. CCPR/C/21/Rev. 1/Add. 6147 </w:t>
      </w:r>
      <w:r>
        <w:rPr>
          <w:rFonts w:ascii="Arial" w:hAnsi="Arial" w:cs="Arial"/>
          <w:lang w:val="en-CA"/>
        </w:rPr>
        <w:t>available online (</w:t>
      </w:r>
      <w:proofErr w:type="spellStart"/>
      <w:r>
        <w:rPr>
          <w:rFonts w:ascii="Arial" w:hAnsi="Arial" w:cs="Arial"/>
          <w:lang w:val="en-CA"/>
        </w:rPr>
        <w:t>eg</w:t>
      </w:r>
      <w:proofErr w:type="spellEnd"/>
      <w:r>
        <w:rPr>
          <w:rFonts w:ascii="Arial" w:hAnsi="Arial" w:cs="Arial"/>
          <w:lang w:val="en-CA"/>
        </w:rPr>
        <w:t xml:space="preserve"> </w:t>
      </w:r>
      <w:hyperlink r:id="rId12" w:history="1">
        <w:r w:rsidRPr="0065099A">
          <w:rPr>
            <w:rStyle w:val="Hyperlink"/>
            <w:rFonts w:ascii="Arial" w:hAnsi="Arial" w:cs="Arial"/>
            <w:lang w:val="en-CA"/>
          </w:rPr>
          <w:t>http://www.refworld.org/docid/453883fc11.html</w:t>
        </w:r>
      </w:hyperlink>
      <w:r>
        <w:rPr>
          <w:rFonts w:ascii="Arial" w:hAnsi="Arial" w:cs="Arial"/>
          <w:lang w:val="en-CA"/>
        </w:rPr>
        <w:t xml:space="preserve">) </w:t>
      </w:r>
    </w:p>
    <w:p w14:paraId="5DADF90F" w14:textId="77777777" w:rsidR="00332A0E" w:rsidRPr="00881B5E" w:rsidRDefault="00332A0E" w:rsidP="00332A0E">
      <w:pPr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881B5E">
        <w:rPr>
          <w:rFonts w:ascii="Arial" w:hAnsi="Arial" w:cs="Arial"/>
          <w:bCs/>
          <w:color w:val="222222"/>
          <w:lang w:val="en-CA"/>
        </w:rPr>
        <w:t>Reservations to the Convention on the Prevention and Punishment of the Crime of Genocide</w:t>
      </w:r>
      <w:r w:rsidRPr="00881B5E">
        <w:rPr>
          <w:rFonts w:ascii="Arial" w:hAnsi="Arial" w:cs="Arial"/>
          <w:lang w:val="en-CA"/>
        </w:rPr>
        <w:t xml:space="preserve">, </w:t>
      </w:r>
      <w:r>
        <w:rPr>
          <w:rFonts w:ascii="Arial" w:hAnsi="Arial" w:cs="Arial"/>
          <w:lang w:val="en-CA"/>
        </w:rPr>
        <w:t>advisory opinion,</w:t>
      </w:r>
      <w:r w:rsidRPr="00881B5E">
        <w:rPr>
          <w:rFonts w:ascii="Arial" w:hAnsi="Arial" w:cs="Arial"/>
          <w:lang w:val="en-CA"/>
        </w:rPr>
        <w:t xml:space="preserve"> 28 </w:t>
      </w:r>
      <w:r>
        <w:rPr>
          <w:rFonts w:ascii="Arial" w:hAnsi="Arial" w:cs="Arial"/>
          <w:lang w:val="en-CA"/>
        </w:rPr>
        <w:t>May</w:t>
      </w:r>
      <w:r w:rsidRPr="00881B5E">
        <w:rPr>
          <w:rFonts w:ascii="Arial" w:hAnsi="Arial" w:cs="Arial"/>
          <w:lang w:val="en-CA"/>
        </w:rPr>
        <w:t xml:space="preserve"> 1951, </w:t>
      </w:r>
      <w:r>
        <w:rPr>
          <w:rFonts w:ascii="Arial" w:hAnsi="Arial" w:cs="Arial"/>
          <w:lang w:val="en-CA"/>
        </w:rPr>
        <w:t>ICJ Reports</w:t>
      </w:r>
      <w:r w:rsidRPr="00881B5E">
        <w:rPr>
          <w:rFonts w:ascii="Arial" w:hAnsi="Arial" w:cs="Arial"/>
          <w:lang w:val="en-CA"/>
        </w:rPr>
        <w:t xml:space="preserve"> 1951, </w:t>
      </w:r>
      <w:r>
        <w:rPr>
          <w:rFonts w:ascii="Arial" w:hAnsi="Arial" w:cs="Arial"/>
          <w:lang w:val="en-CA"/>
        </w:rPr>
        <w:t xml:space="preserve">p. 15. Read </w:t>
      </w:r>
      <w:r w:rsidRPr="00881B5E">
        <w:rPr>
          <w:rFonts w:ascii="Arial" w:hAnsi="Arial" w:cs="Arial"/>
          <w:lang w:val="en-CA"/>
        </w:rPr>
        <w:t>p. 16 (questions) and p. 20 and seq.</w:t>
      </w:r>
      <w:r>
        <w:rPr>
          <w:rFonts w:ascii="Arial" w:hAnsi="Arial" w:cs="Arial"/>
          <w:lang w:val="en-CA"/>
        </w:rPr>
        <w:t xml:space="preserve"> (reference is made to page numbers at the top of the page)</w:t>
      </w:r>
    </w:p>
    <w:p w14:paraId="763893D4" w14:textId="77777777" w:rsidR="00332A0E" w:rsidRPr="001560D0" w:rsidRDefault="00332A0E" w:rsidP="00332A0E">
      <w:pPr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 w:rsidRPr="00C91DCF">
        <w:rPr>
          <w:rFonts w:ascii="Arial" w:hAnsi="Arial" w:cs="Arial"/>
          <w:bCs/>
          <w:lang w:val="en-CA" w:eastAsia="fr-CA"/>
        </w:rPr>
        <w:t>Armed Activities on the Territory of the Congo (New Application: 2002)</w:t>
      </w:r>
      <w:r w:rsidRPr="00C91DCF">
        <w:rPr>
          <w:rFonts w:ascii="Arial" w:hAnsi="Arial" w:cs="Arial"/>
          <w:lang w:val="en-CA"/>
        </w:rPr>
        <w:t xml:space="preserve"> </w:t>
      </w:r>
      <w:r w:rsidRPr="00C91DCF">
        <w:rPr>
          <w:rFonts w:ascii="Arial" w:hAnsi="Arial" w:cs="Arial"/>
          <w:bCs/>
          <w:lang w:val="en-CA" w:eastAsia="fr-CA"/>
        </w:rPr>
        <w:t>(Democratic Republic of the Congo v. Rwanda)</w:t>
      </w:r>
      <w:r w:rsidRPr="00C91DCF">
        <w:rPr>
          <w:rFonts w:ascii="Arial" w:hAnsi="Arial" w:cs="Arial"/>
          <w:lang w:val="en-CA"/>
        </w:rPr>
        <w:t xml:space="preserve">, 3 </w:t>
      </w:r>
      <w:r>
        <w:rPr>
          <w:rFonts w:ascii="Arial" w:hAnsi="Arial" w:cs="Arial"/>
          <w:lang w:val="en-CA"/>
        </w:rPr>
        <w:t>February</w:t>
      </w:r>
      <w:r w:rsidRPr="00C91DCF">
        <w:rPr>
          <w:rFonts w:ascii="Arial" w:hAnsi="Arial" w:cs="Arial"/>
          <w:lang w:val="en-CA"/>
        </w:rPr>
        <w:t xml:space="preserve"> 2006, </w:t>
      </w:r>
      <w:r>
        <w:rPr>
          <w:rFonts w:ascii="Arial" w:hAnsi="Arial" w:cs="Arial"/>
          <w:lang w:val="en-CA"/>
        </w:rPr>
        <w:t xml:space="preserve">summary of the judgement and </w:t>
      </w:r>
      <w:r w:rsidRPr="00E91904">
        <w:rPr>
          <w:rFonts w:ascii="Arial" w:hAnsi="Arial" w:cs="Arial"/>
          <w:iCs/>
          <w:lang w:val="en-CA"/>
        </w:rPr>
        <w:t xml:space="preserve">Joint Separate Opinion by Judges Higgins, </w:t>
      </w:r>
      <w:proofErr w:type="spellStart"/>
      <w:r w:rsidRPr="00E91904">
        <w:rPr>
          <w:rFonts w:ascii="Arial" w:hAnsi="Arial" w:cs="Arial"/>
          <w:iCs/>
          <w:lang w:val="en-CA"/>
        </w:rPr>
        <w:t>Kooijmans</w:t>
      </w:r>
      <w:proofErr w:type="spellEnd"/>
      <w:r w:rsidRPr="00E91904">
        <w:rPr>
          <w:rFonts w:ascii="Arial" w:hAnsi="Arial" w:cs="Arial"/>
          <w:iCs/>
          <w:lang w:val="en-CA"/>
        </w:rPr>
        <w:t xml:space="preserve">, Elaraby, </w:t>
      </w:r>
      <w:proofErr w:type="spellStart"/>
      <w:r w:rsidRPr="00E91904">
        <w:rPr>
          <w:rFonts w:ascii="Arial" w:hAnsi="Arial" w:cs="Arial"/>
          <w:iCs/>
          <w:lang w:val="en-CA"/>
        </w:rPr>
        <w:t>Owada</w:t>
      </w:r>
      <w:proofErr w:type="spellEnd"/>
      <w:r w:rsidRPr="00E91904">
        <w:rPr>
          <w:rFonts w:ascii="Arial" w:hAnsi="Arial" w:cs="Arial"/>
          <w:iCs/>
          <w:lang w:val="en-CA"/>
        </w:rPr>
        <w:t xml:space="preserve"> and </w:t>
      </w:r>
      <w:proofErr w:type="spellStart"/>
      <w:r w:rsidRPr="00E91904">
        <w:rPr>
          <w:rFonts w:ascii="Arial" w:hAnsi="Arial" w:cs="Arial"/>
          <w:iCs/>
          <w:lang w:val="en-CA"/>
        </w:rPr>
        <w:t>Simma</w:t>
      </w:r>
      <w:proofErr w:type="spellEnd"/>
    </w:p>
    <w:p w14:paraId="738C34FB" w14:textId="77777777" w:rsidR="00332A0E" w:rsidRPr="009B0500" w:rsidRDefault="00332A0E" w:rsidP="00332A0E">
      <w:pPr>
        <w:numPr>
          <w:ilvl w:val="0"/>
          <w:numId w:val="1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Cs/>
          <w:lang w:val="en-CA"/>
        </w:rPr>
        <w:t xml:space="preserve">Entries from the Max Planck Encyclopaedia: Sources of International Law (Ruediger </w:t>
      </w:r>
      <w:proofErr w:type="spellStart"/>
      <w:r>
        <w:rPr>
          <w:rFonts w:ascii="Arial" w:hAnsi="Arial" w:cs="Arial"/>
          <w:iCs/>
          <w:lang w:val="en-CA"/>
        </w:rPr>
        <w:t>Wolfrum</w:t>
      </w:r>
      <w:proofErr w:type="spellEnd"/>
      <w:r>
        <w:rPr>
          <w:rFonts w:ascii="Arial" w:hAnsi="Arial" w:cs="Arial"/>
          <w:iCs/>
          <w:lang w:val="en-CA"/>
        </w:rPr>
        <w:t>), Treaties (</w:t>
      </w:r>
      <w:proofErr w:type="spellStart"/>
      <w:r>
        <w:rPr>
          <w:rFonts w:ascii="Arial" w:hAnsi="Arial" w:cs="Arial"/>
          <w:iCs/>
          <w:lang w:val="en-CA"/>
        </w:rPr>
        <w:t>Malgosia</w:t>
      </w:r>
      <w:proofErr w:type="spellEnd"/>
      <w:r>
        <w:rPr>
          <w:rFonts w:ascii="Arial" w:hAnsi="Arial" w:cs="Arial"/>
          <w:iCs/>
          <w:lang w:val="en-CA"/>
        </w:rPr>
        <w:t xml:space="preserve"> Fitzmaurice), Treaties, Object and Purpose (Jan </w:t>
      </w:r>
      <w:proofErr w:type="spellStart"/>
      <w:r>
        <w:rPr>
          <w:rFonts w:ascii="Arial" w:hAnsi="Arial" w:cs="Arial"/>
          <w:iCs/>
          <w:lang w:val="en-CA"/>
        </w:rPr>
        <w:t>Klabbers</w:t>
      </w:r>
      <w:proofErr w:type="spellEnd"/>
      <w:r>
        <w:rPr>
          <w:rFonts w:ascii="Arial" w:hAnsi="Arial" w:cs="Arial"/>
          <w:iCs/>
          <w:lang w:val="en-CA"/>
        </w:rPr>
        <w:t xml:space="preserve">), Treaties, Multilateral, Reservations to (Thomas </w:t>
      </w:r>
      <w:proofErr w:type="spellStart"/>
      <w:r>
        <w:rPr>
          <w:rFonts w:ascii="Arial" w:hAnsi="Arial" w:cs="Arial"/>
          <w:iCs/>
          <w:lang w:val="en-CA"/>
        </w:rPr>
        <w:t>Giegerich</w:t>
      </w:r>
      <w:proofErr w:type="spellEnd"/>
      <w:r>
        <w:rPr>
          <w:rFonts w:ascii="Arial" w:hAnsi="Arial" w:cs="Arial"/>
          <w:iCs/>
          <w:lang w:val="en-CA"/>
        </w:rPr>
        <w:t>)</w:t>
      </w:r>
    </w:p>
    <w:p w14:paraId="64D982E2" w14:textId="77777777" w:rsidR="00332A0E" w:rsidRDefault="00332A0E" w:rsidP="00332A0E">
      <w:pPr>
        <w:ind w:left="360"/>
        <w:jc w:val="both"/>
        <w:rPr>
          <w:rFonts w:ascii="Arial" w:hAnsi="Arial" w:cs="Arial"/>
          <w:iCs/>
          <w:lang w:val="en-CA"/>
        </w:rPr>
      </w:pPr>
    </w:p>
    <w:p w14:paraId="077F0221" w14:textId="77777777" w:rsidR="00332A0E" w:rsidRPr="009B0500" w:rsidRDefault="00332A0E" w:rsidP="00332A0E">
      <w:pPr>
        <w:rPr>
          <w:rFonts w:ascii="Arial" w:hAnsi="Arial" w:cs="Arial"/>
          <w:lang w:val="en-GB"/>
        </w:rPr>
      </w:pPr>
      <w:r w:rsidRPr="009D7A69">
        <w:rPr>
          <w:rFonts w:ascii="Arial" w:hAnsi="Arial" w:cs="Arial"/>
          <w:bCs/>
          <w:u w:val="single"/>
          <w:lang w:val="en-GB"/>
        </w:rPr>
        <w:t>Additional reading</w:t>
      </w:r>
      <w:r>
        <w:rPr>
          <w:rFonts w:ascii="Arial" w:hAnsi="Arial" w:cs="Arial"/>
          <w:bCs/>
          <w:u w:val="single"/>
          <w:lang w:val="en-GB"/>
        </w:rPr>
        <w:t>s</w:t>
      </w:r>
      <w:r w:rsidRPr="009D7A69">
        <w:rPr>
          <w:rFonts w:ascii="Arial" w:hAnsi="Arial" w:cs="Arial"/>
          <w:u w:val="single"/>
          <w:lang w:val="en-GB"/>
        </w:rPr>
        <w:t xml:space="preserve">: </w:t>
      </w:r>
    </w:p>
    <w:p w14:paraId="2E81604A" w14:textId="77777777" w:rsidR="00332A0E" w:rsidRDefault="00332A0E" w:rsidP="00332A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Hugh </w:t>
      </w:r>
      <w:proofErr w:type="spellStart"/>
      <w:r>
        <w:rPr>
          <w:rFonts w:ascii="Arial" w:hAnsi="Arial" w:cs="Arial"/>
          <w:lang w:val="en-CA"/>
        </w:rPr>
        <w:t>Thirlway</w:t>
      </w:r>
      <w:proofErr w:type="spellEnd"/>
      <w:r>
        <w:rPr>
          <w:rFonts w:ascii="Arial" w:hAnsi="Arial" w:cs="Arial"/>
          <w:lang w:val="en-CA"/>
        </w:rPr>
        <w:t>,</w:t>
      </w:r>
      <w:r w:rsidRPr="001F3F0A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“</w:t>
      </w:r>
      <w:r w:rsidRPr="001F3F0A">
        <w:rPr>
          <w:rFonts w:ascii="Arial" w:hAnsi="Arial" w:cs="Arial"/>
          <w:lang w:val="en-CA"/>
        </w:rPr>
        <w:t>The sources of international law</w:t>
      </w:r>
      <w:r>
        <w:rPr>
          <w:rFonts w:ascii="Arial" w:hAnsi="Arial" w:cs="Arial"/>
          <w:lang w:val="en-CA"/>
        </w:rPr>
        <w:t xml:space="preserve">” in </w:t>
      </w:r>
      <w:r w:rsidRPr="00934CA3">
        <w:rPr>
          <w:rFonts w:ascii="Arial" w:hAnsi="Arial" w:cs="Arial"/>
          <w:lang w:val="en-GB"/>
        </w:rPr>
        <w:t xml:space="preserve">M. 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</w:t>
      </w:r>
      <w:r w:rsidRPr="00934CA3">
        <w:rPr>
          <w:rFonts w:ascii="Arial" w:hAnsi="Arial" w:cs="Arial"/>
          <w:lang w:val="en-GB"/>
        </w:rPr>
        <w:t>)</w:t>
      </w:r>
    </w:p>
    <w:p w14:paraId="3457C87B" w14:textId="77777777" w:rsidR="00332A0E" w:rsidRPr="00187F34" w:rsidRDefault="00332A0E" w:rsidP="00332A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Malgosia</w:t>
      </w:r>
      <w:proofErr w:type="spellEnd"/>
      <w:r>
        <w:rPr>
          <w:rFonts w:ascii="Arial" w:hAnsi="Arial" w:cs="Arial"/>
          <w:lang w:val="en-CA"/>
        </w:rPr>
        <w:t xml:space="preserve"> Fitzmaurice, “</w:t>
      </w:r>
      <w:r w:rsidRPr="00187F34">
        <w:rPr>
          <w:rFonts w:ascii="Arial" w:hAnsi="Arial" w:cs="Arial"/>
          <w:lang w:val="en-CA"/>
        </w:rPr>
        <w:t>The practical working of the law of treaties</w:t>
      </w:r>
      <w:r>
        <w:rPr>
          <w:rFonts w:ascii="Arial" w:hAnsi="Arial" w:cs="Arial"/>
          <w:lang w:val="en-CA"/>
        </w:rPr>
        <w:t xml:space="preserve">” in M. Evans </w:t>
      </w:r>
      <w:r w:rsidRPr="00934CA3">
        <w:rPr>
          <w:rFonts w:ascii="Arial" w:hAnsi="Arial" w:cs="Arial"/>
          <w:lang w:val="en-GB"/>
        </w:rPr>
        <w:t xml:space="preserve">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</w:t>
      </w:r>
      <w:r w:rsidRPr="00934CA3">
        <w:rPr>
          <w:rFonts w:ascii="Arial" w:hAnsi="Arial" w:cs="Arial"/>
          <w:lang w:val="en-GB"/>
        </w:rPr>
        <w:t>)</w:t>
      </w:r>
    </w:p>
    <w:p w14:paraId="26B2E91B" w14:textId="77777777" w:rsidR="00332A0E" w:rsidRDefault="00332A0E" w:rsidP="00332A0E">
      <w:pPr>
        <w:jc w:val="both"/>
        <w:rPr>
          <w:rFonts w:ascii="Arial" w:hAnsi="Arial" w:cs="Arial"/>
          <w:lang w:val="en-CA"/>
        </w:rPr>
      </w:pPr>
    </w:p>
    <w:p w14:paraId="38A58328" w14:textId="0F9753FE" w:rsidR="00332A0E" w:rsidRPr="00E91904" w:rsidRDefault="00332A0E" w:rsidP="00332A0E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WEEK 5 (17 October 2019)</w:t>
      </w:r>
    </w:p>
    <w:p w14:paraId="40A560E9" w14:textId="77777777" w:rsidR="00332A0E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</w:p>
    <w:p w14:paraId="23839A25" w14:textId="77777777" w:rsidR="00332A0E" w:rsidRPr="00881B5E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  <w:r w:rsidRPr="00881B5E">
        <w:rPr>
          <w:rFonts w:ascii="Arial" w:hAnsi="Arial" w:cs="Arial"/>
          <w:b/>
          <w:lang w:val="en-CA"/>
        </w:rPr>
        <w:t>3. Custom and other sources of public international law</w:t>
      </w:r>
    </w:p>
    <w:p w14:paraId="0ABD4C92" w14:textId="77777777" w:rsidR="00332A0E" w:rsidRPr="00881B5E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 w:rsidRPr="00881B5E">
        <w:rPr>
          <w:rFonts w:ascii="Arial" w:hAnsi="Arial" w:cs="Arial"/>
          <w:lang w:val="en-CA"/>
        </w:rPr>
        <w:t>a) Custom</w:t>
      </w:r>
    </w:p>
    <w:p w14:paraId="1B2F2953" w14:textId="77777777" w:rsidR="00332A0E" w:rsidRPr="00881B5E" w:rsidRDefault="00332A0E" w:rsidP="00332A0E">
      <w:pPr>
        <w:keepNext/>
        <w:ind w:left="1260"/>
        <w:jc w:val="both"/>
        <w:rPr>
          <w:rFonts w:ascii="Arial" w:hAnsi="Arial" w:cs="Arial"/>
          <w:lang w:val="en-CA"/>
        </w:rPr>
      </w:pPr>
      <w:proofErr w:type="spellStart"/>
      <w:r w:rsidRPr="00881B5E">
        <w:rPr>
          <w:rFonts w:ascii="Arial" w:hAnsi="Arial" w:cs="Arial"/>
          <w:lang w:val="en-CA"/>
        </w:rPr>
        <w:t>i</w:t>
      </w:r>
      <w:proofErr w:type="spellEnd"/>
      <w:r w:rsidRPr="00881B5E">
        <w:rPr>
          <w:rFonts w:ascii="Arial" w:hAnsi="Arial" w:cs="Arial"/>
          <w:lang w:val="en-CA"/>
        </w:rPr>
        <w:t xml:space="preserve">) </w:t>
      </w:r>
      <w:r>
        <w:rPr>
          <w:rFonts w:ascii="Arial" w:hAnsi="Arial" w:cs="Arial"/>
          <w:lang w:val="en-CA"/>
        </w:rPr>
        <w:t>F</w:t>
      </w:r>
      <w:r w:rsidRPr="00881B5E">
        <w:rPr>
          <w:rFonts w:ascii="Arial" w:hAnsi="Arial" w:cs="Arial"/>
          <w:lang w:val="en-CA"/>
        </w:rPr>
        <w:t>ormation of customary rules</w:t>
      </w:r>
    </w:p>
    <w:p w14:paraId="7B511609" w14:textId="77777777" w:rsidR="00332A0E" w:rsidRPr="00E91904" w:rsidRDefault="00332A0E" w:rsidP="00332A0E">
      <w:pPr>
        <w:keepNext/>
        <w:ind w:left="1260"/>
        <w:jc w:val="both"/>
        <w:rPr>
          <w:rFonts w:ascii="Arial" w:hAnsi="Arial" w:cs="Arial"/>
          <w:lang w:val="en-CA"/>
        </w:rPr>
      </w:pPr>
      <w:r w:rsidRPr="00E91904">
        <w:rPr>
          <w:rFonts w:ascii="Arial" w:hAnsi="Arial" w:cs="Arial"/>
          <w:lang w:val="en-CA"/>
        </w:rPr>
        <w:t xml:space="preserve">ii) </w:t>
      </w:r>
      <w:r>
        <w:rPr>
          <w:rFonts w:ascii="Arial" w:hAnsi="Arial" w:cs="Arial"/>
          <w:lang w:val="en-CA"/>
        </w:rPr>
        <w:t>A</w:t>
      </w:r>
      <w:r w:rsidRPr="00E91904">
        <w:rPr>
          <w:rFonts w:ascii="Arial" w:hAnsi="Arial" w:cs="Arial"/>
          <w:lang w:val="en-CA"/>
        </w:rPr>
        <w:t>pplication of customary rules</w:t>
      </w:r>
    </w:p>
    <w:p w14:paraId="70C76302" w14:textId="77777777" w:rsidR="00332A0E" w:rsidRPr="00E91904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 w:rsidRPr="00E91904">
        <w:rPr>
          <w:rFonts w:ascii="Arial" w:hAnsi="Arial" w:cs="Arial"/>
          <w:lang w:val="en-CA"/>
        </w:rPr>
        <w:t xml:space="preserve">b) </w:t>
      </w:r>
      <w:r>
        <w:rPr>
          <w:rFonts w:ascii="Arial" w:hAnsi="Arial" w:cs="Arial"/>
          <w:lang w:val="en-CA"/>
        </w:rPr>
        <w:t xml:space="preserve">General </w:t>
      </w:r>
      <w:r w:rsidRPr="00E91904">
        <w:rPr>
          <w:rFonts w:ascii="Arial" w:hAnsi="Arial" w:cs="Arial"/>
          <w:lang w:val="en-CA"/>
        </w:rPr>
        <w:t>principles of law</w:t>
      </w:r>
    </w:p>
    <w:p w14:paraId="2C2E3ACA" w14:textId="77777777" w:rsidR="00332A0E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 w:rsidRPr="00E91904">
        <w:rPr>
          <w:rFonts w:ascii="Arial" w:hAnsi="Arial" w:cs="Arial"/>
          <w:lang w:val="en-CA"/>
        </w:rPr>
        <w:t xml:space="preserve">c) </w:t>
      </w:r>
      <w:r>
        <w:rPr>
          <w:rFonts w:ascii="Arial" w:hAnsi="Arial" w:cs="Arial"/>
          <w:lang w:val="en-CA"/>
        </w:rPr>
        <w:t>J</w:t>
      </w:r>
      <w:r w:rsidRPr="00E91904">
        <w:rPr>
          <w:rFonts w:ascii="Arial" w:hAnsi="Arial" w:cs="Arial"/>
          <w:lang w:val="en-CA"/>
        </w:rPr>
        <w:t xml:space="preserve">udicial decisions and teachings of publicists </w:t>
      </w:r>
    </w:p>
    <w:p w14:paraId="049222FD" w14:textId="77777777" w:rsidR="00332A0E" w:rsidRPr="00E91904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d) Unilateral declarations</w:t>
      </w:r>
    </w:p>
    <w:p w14:paraId="755501F3" w14:textId="77777777" w:rsidR="00332A0E" w:rsidRPr="00E91904" w:rsidRDefault="00332A0E" w:rsidP="00332A0E">
      <w:pPr>
        <w:jc w:val="both"/>
        <w:rPr>
          <w:rFonts w:ascii="Arial" w:hAnsi="Arial" w:cs="Arial"/>
          <w:lang w:val="en-CA"/>
        </w:rPr>
      </w:pPr>
    </w:p>
    <w:p w14:paraId="5938B067" w14:textId="77777777" w:rsidR="00332A0E" w:rsidRDefault="00332A0E" w:rsidP="00332A0E">
      <w:pPr>
        <w:rPr>
          <w:rFonts w:ascii="Arial" w:hAnsi="Arial" w:cs="Arial"/>
          <w:bCs/>
          <w:u w:val="single"/>
          <w:lang w:val="en-GB"/>
        </w:rPr>
      </w:pPr>
      <w:r w:rsidRPr="009D7A69">
        <w:rPr>
          <w:rFonts w:ascii="Arial" w:hAnsi="Arial" w:cs="Arial"/>
          <w:bCs/>
          <w:u w:val="single"/>
          <w:lang w:val="en-GB"/>
        </w:rPr>
        <w:t xml:space="preserve">Readings: </w:t>
      </w:r>
    </w:p>
    <w:p w14:paraId="6ED43343" w14:textId="77777777" w:rsidR="00332A0E" w:rsidRPr="00000B15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val="en-CA"/>
        </w:rPr>
      </w:pPr>
      <w:r w:rsidRPr="00000B15">
        <w:rPr>
          <w:rFonts w:ascii="ArialMT" w:hAnsi="ArialMT" w:cs="ArialMT"/>
          <w:lang w:val="en-CA"/>
        </w:rPr>
        <w:t xml:space="preserve">The case of the S.S. « Lotus », 7 </w:t>
      </w:r>
      <w:r>
        <w:rPr>
          <w:rFonts w:ascii="ArialMT" w:hAnsi="ArialMT" w:cs="ArialMT"/>
          <w:lang w:val="en-CA"/>
        </w:rPr>
        <w:t>September</w:t>
      </w:r>
      <w:r w:rsidRPr="00000B15">
        <w:rPr>
          <w:rFonts w:ascii="ArialMT" w:hAnsi="ArialMT" w:cs="ArialMT"/>
          <w:lang w:val="en-CA"/>
        </w:rPr>
        <w:t xml:space="preserve"> 1927, </w:t>
      </w:r>
      <w:r>
        <w:rPr>
          <w:rFonts w:ascii="ArialMT" w:hAnsi="ArialMT" w:cs="ArialMT"/>
          <w:lang w:val="en-CA"/>
        </w:rPr>
        <w:t>PCIJ Reports</w:t>
      </w:r>
      <w:r w:rsidRPr="00000B15">
        <w:rPr>
          <w:rFonts w:ascii="ArialMT" w:hAnsi="ArialMT" w:cs="ArialMT"/>
          <w:lang w:val="en-CA"/>
        </w:rPr>
        <w:t xml:space="preserve">, </w:t>
      </w:r>
      <w:r>
        <w:rPr>
          <w:rFonts w:ascii="ArialMT" w:hAnsi="ArialMT" w:cs="ArialMT"/>
          <w:lang w:val="en-CA"/>
        </w:rPr>
        <w:t>Series</w:t>
      </w:r>
      <w:r w:rsidRPr="00000B15">
        <w:rPr>
          <w:rFonts w:ascii="ArialMT" w:hAnsi="ArialMT" w:cs="ArialMT"/>
          <w:lang w:val="en-CA"/>
        </w:rPr>
        <w:t xml:space="preserve"> A, nº 10, p. 4</w:t>
      </w:r>
      <w:r>
        <w:rPr>
          <w:rFonts w:ascii="ArialMT" w:hAnsi="ArialMT" w:cs="ArialMT"/>
          <w:lang w:val="en-CA"/>
        </w:rPr>
        <w:t>. Read p. 5 and p. 10 and seq.</w:t>
      </w:r>
    </w:p>
    <w:p w14:paraId="5DBF74FE" w14:textId="77777777" w:rsidR="00332A0E" w:rsidRPr="00DE6604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BC31D8">
        <w:rPr>
          <w:rFonts w:ascii="Arial" w:hAnsi="Arial" w:cs="Arial"/>
          <w:iCs/>
          <w:lang w:val="en-CA"/>
        </w:rPr>
        <w:t xml:space="preserve">North Sea Continental Shelf Cases, </w:t>
      </w:r>
      <w:r>
        <w:rPr>
          <w:rFonts w:ascii="Arial" w:hAnsi="Arial" w:cs="Arial"/>
          <w:iCs/>
          <w:lang w:val="en-CA"/>
        </w:rPr>
        <w:t xml:space="preserve">judgement, </w:t>
      </w:r>
      <w:r w:rsidRPr="00BC31D8">
        <w:rPr>
          <w:rFonts w:ascii="Arial" w:hAnsi="Arial" w:cs="Arial"/>
          <w:lang w:val="en-CA"/>
        </w:rPr>
        <w:t xml:space="preserve">20 February 1969, ICJ Reports 1969, p. 3. </w:t>
      </w:r>
      <w:r w:rsidRPr="00DE6604">
        <w:rPr>
          <w:rFonts w:ascii="Arial" w:hAnsi="Arial" w:cs="Arial"/>
          <w:lang w:val="en-CA"/>
        </w:rPr>
        <w:t xml:space="preserve">Read paragraphs 1 (starts at p. 12), 2, 14, 15, 37 and 60-85 </w:t>
      </w:r>
    </w:p>
    <w:p w14:paraId="14F82498" w14:textId="77777777" w:rsidR="00332A0E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F71100">
        <w:rPr>
          <w:rFonts w:ascii="Arial" w:hAnsi="Arial" w:cs="Arial"/>
          <w:bCs/>
          <w:lang w:val="en-CA"/>
        </w:rPr>
        <w:t xml:space="preserve">Military and Paramilitary Activities in and against Nicaragua (Nicaragua </w:t>
      </w:r>
      <w:r w:rsidRPr="00F71100">
        <w:rPr>
          <w:rFonts w:ascii="Arial" w:hAnsi="Arial" w:cs="Arial"/>
          <w:bCs/>
          <w:i/>
          <w:iCs/>
          <w:lang w:val="en-CA"/>
        </w:rPr>
        <w:t>v.</w:t>
      </w:r>
      <w:r w:rsidRPr="00F71100">
        <w:rPr>
          <w:rFonts w:ascii="Arial" w:hAnsi="Arial" w:cs="Arial"/>
          <w:bCs/>
          <w:lang w:val="en-CA"/>
        </w:rPr>
        <w:t xml:space="preserve"> United States of America)</w:t>
      </w:r>
      <w:r w:rsidRPr="00F71100">
        <w:rPr>
          <w:rFonts w:ascii="Arial" w:hAnsi="Arial" w:cs="Arial"/>
          <w:iCs/>
          <w:lang w:val="en-CA"/>
        </w:rPr>
        <w:t xml:space="preserve">, </w:t>
      </w:r>
      <w:r w:rsidRPr="00287B22">
        <w:rPr>
          <w:rFonts w:ascii="Arial" w:hAnsi="Arial" w:cs="Arial"/>
          <w:iCs/>
          <w:u w:val="single"/>
          <w:lang w:val="en-CA"/>
        </w:rPr>
        <w:t>Merits</w:t>
      </w:r>
      <w:r w:rsidRPr="00F71100">
        <w:rPr>
          <w:rFonts w:ascii="Arial" w:hAnsi="Arial" w:cs="Arial"/>
          <w:iCs/>
          <w:lang w:val="en-CA"/>
        </w:rPr>
        <w:t xml:space="preserve">, </w:t>
      </w:r>
      <w:r>
        <w:rPr>
          <w:rFonts w:ascii="Arial" w:hAnsi="Arial" w:cs="Arial"/>
          <w:iCs/>
          <w:lang w:val="en-CA"/>
        </w:rPr>
        <w:t xml:space="preserve">judgement, </w:t>
      </w:r>
      <w:r w:rsidRPr="00F71100">
        <w:rPr>
          <w:rFonts w:ascii="Arial" w:hAnsi="Arial" w:cs="Arial"/>
          <w:lang w:val="en-CA"/>
        </w:rPr>
        <w:t>26 June 1986, ICJ Reports 1986, p. 14. Read paragraphs 172-269.</w:t>
      </w:r>
    </w:p>
    <w:p w14:paraId="0EA0996A" w14:textId="3CEC1D5D" w:rsidR="00332A0E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DE6604">
        <w:rPr>
          <w:rFonts w:ascii="Arial" w:hAnsi="Arial" w:cs="Arial"/>
          <w:bCs/>
          <w:lang w:val="en-CA"/>
        </w:rPr>
        <w:t xml:space="preserve">Nuclear Tests (New Zealand </w:t>
      </w:r>
      <w:r w:rsidRPr="00DE6604">
        <w:rPr>
          <w:rFonts w:ascii="Arial" w:hAnsi="Arial" w:cs="Arial"/>
          <w:bCs/>
          <w:i/>
          <w:iCs/>
          <w:lang w:val="en-CA"/>
        </w:rPr>
        <w:t>v.</w:t>
      </w:r>
      <w:r w:rsidRPr="00DE6604">
        <w:rPr>
          <w:rFonts w:ascii="Arial" w:hAnsi="Arial" w:cs="Arial"/>
          <w:bCs/>
          <w:lang w:val="en-CA"/>
        </w:rPr>
        <w:t xml:space="preserve"> France)</w:t>
      </w:r>
      <w:r w:rsidRPr="00DE6604">
        <w:rPr>
          <w:rFonts w:ascii="Arial" w:hAnsi="Arial" w:cs="Arial"/>
          <w:iCs/>
          <w:lang w:val="en-CA"/>
        </w:rPr>
        <w:t xml:space="preserve"> (Australia</w:t>
      </w:r>
      <w:r>
        <w:rPr>
          <w:rFonts w:ascii="Arial" w:hAnsi="Arial" w:cs="Arial"/>
          <w:iCs/>
          <w:lang w:val="en-CA"/>
        </w:rPr>
        <w:t xml:space="preserve"> v. France), judgement,</w:t>
      </w:r>
      <w:r w:rsidRPr="00DE6604">
        <w:rPr>
          <w:rFonts w:ascii="Arial" w:hAnsi="Arial" w:cs="Arial"/>
          <w:lang w:val="en-CA"/>
        </w:rPr>
        <w:t xml:space="preserve"> 20 December 1974, </w:t>
      </w:r>
      <w:r>
        <w:rPr>
          <w:rFonts w:ascii="Arial" w:hAnsi="Arial" w:cs="Arial"/>
          <w:lang w:val="en-CA"/>
        </w:rPr>
        <w:t>ICJ Reports 1974, p. 457. Read paragraphs 16 and seq.</w:t>
      </w:r>
    </w:p>
    <w:p w14:paraId="492F5BB1" w14:textId="475F1042" w:rsidR="000A52A4" w:rsidRDefault="000A52A4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Legal Consequences of the Separation of the </w:t>
      </w:r>
      <w:proofErr w:type="spellStart"/>
      <w:r>
        <w:rPr>
          <w:rFonts w:ascii="Arial" w:hAnsi="Arial" w:cs="Arial"/>
          <w:lang w:val="en-CA"/>
        </w:rPr>
        <w:t>Chagos</w:t>
      </w:r>
      <w:proofErr w:type="spellEnd"/>
      <w:r>
        <w:rPr>
          <w:rFonts w:ascii="Arial" w:hAnsi="Arial" w:cs="Arial"/>
          <w:lang w:val="en-CA"/>
        </w:rPr>
        <w:t xml:space="preserve"> Archipelago from Mauritius in 1965, Advisory Opinion, 25 February 2019, read paras 144-162</w:t>
      </w:r>
    </w:p>
    <w:p w14:paraId="422A21D8" w14:textId="77777777" w:rsidR="00332A0E" w:rsidRPr="00F71100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iCs/>
          <w:lang w:val="en-CA"/>
        </w:rPr>
        <w:t>Entries from Max-Planck Encyclopaedia: Customary International Law (</w:t>
      </w:r>
      <w:proofErr w:type="spellStart"/>
      <w:r>
        <w:rPr>
          <w:rFonts w:ascii="Arial" w:hAnsi="Arial" w:cs="Arial"/>
          <w:iCs/>
          <w:lang w:val="en-CA"/>
        </w:rPr>
        <w:t>Tullio</w:t>
      </w:r>
      <w:proofErr w:type="spellEnd"/>
      <w:r>
        <w:rPr>
          <w:rFonts w:ascii="Arial" w:hAnsi="Arial" w:cs="Arial"/>
          <w:iCs/>
          <w:lang w:val="en-CA"/>
        </w:rPr>
        <w:t xml:space="preserve"> Treves), General Principles of Law (Giorgio </w:t>
      </w:r>
      <w:proofErr w:type="spellStart"/>
      <w:r>
        <w:rPr>
          <w:rFonts w:ascii="Arial" w:hAnsi="Arial" w:cs="Arial"/>
          <w:iCs/>
          <w:lang w:val="en-CA"/>
        </w:rPr>
        <w:t>Gaja</w:t>
      </w:r>
      <w:proofErr w:type="spellEnd"/>
      <w:r>
        <w:rPr>
          <w:rFonts w:ascii="Arial" w:hAnsi="Arial" w:cs="Arial"/>
          <w:iCs/>
          <w:lang w:val="en-CA"/>
        </w:rPr>
        <w:t xml:space="preserve">), Unilateral Acts of States in International Law (Victor Rodrigues </w:t>
      </w:r>
      <w:proofErr w:type="spellStart"/>
      <w:r>
        <w:rPr>
          <w:rFonts w:ascii="Arial" w:hAnsi="Arial" w:cs="Arial"/>
          <w:iCs/>
          <w:lang w:val="en-CA"/>
        </w:rPr>
        <w:t>Cedenio</w:t>
      </w:r>
      <w:proofErr w:type="spellEnd"/>
      <w:r>
        <w:rPr>
          <w:rFonts w:ascii="Arial" w:hAnsi="Arial" w:cs="Arial"/>
          <w:iCs/>
          <w:lang w:val="en-CA"/>
        </w:rPr>
        <w:t xml:space="preserve"> and Maria Isabel Torres </w:t>
      </w:r>
      <w:proofErr w:type="spellStart"/>
      <w:r>
        <w:rPr>
          <w:rFonts w:ascii="Arial" w:hAnsi="Arial" w:cs="Arial"/>
          <w:iCs/>
          <w:lang w:val="en-CA"/>
        </w:rPr>
        <w:t>Cazorlu</w:t>
      </w:r>
      <w:proofErr w:type="spellEnd"/>
      <w:r>
        <w:rPr>
          <w:rFonts w:ascii="Arial" w:hAnsi="Arial" w:cs="Arial"/>
          <w:iCs/>
          <w:lang w:val="en-CA"/>
        </w:rPr>
        <w:t>)</w:t>
      </w:r>
    </w:p>
    <w:p w14:paraId="656126FF" w14:textId="77777777" w:rsidR="00332A0E" w:rsidRDefault="00332A0E" w:rsidP="00332A0E">
      <w:pPr>
        <w:jc w:val="both"/>
        <w:rPr>
          <w:rFonts w:ascii="Arial" w:hAnsi="Arial" w:cs="Arial"/>
          <w:b/>
          <w:lang w:val="en-CA"/>
        </w:rPr>
      </w:pPr>
    </w:p>
    <w:p w14:paraId="5B21E212" w14:textId="77777777" w:rsidR="00332A0E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EA0845">
        <w:rPr>
          <w:rFonts w:ascii="Arial" w:hAnsi="Arial" w:cs="Arial"/>
          <w:b/>
          <w:lang w:val="en-CA"/>
        </w:rPr>
        <w:t>4. Other relevant notions</w:t>
      </w:r>
    </w:p>
    <w:p w14:paraId="3DEAB9C9" w14:textId="77777777" w:rsidR="00332A0E" w:rsidRPr="00EA0845" w:rsidRDefault="00332A0E" w:rsidP="00332A0E">
      <w:pPr>
        <w:jc w:val="both"/>
        <w:rPr>
          <w:rFonts w:ascii="Arial" w:hAnsi="Arial" w:cs="Arial"/>
          <w:lang w:val="en-CA"/>
        </w:rPr>
      </w:pPr>
      <w:r w:rsidRPr="004B13E3">
        <w:rPr>
          <w:rFonts w:ascii="Arial" w:hAnsi="Arial" w:cs="Arial"/>
          <w:i/>
          <w:lang w:val="en-CA"/>
        </w:rPr>
        <w:t>Jus cogens</w:t>
      </w:r>
      <w:r w:rsidRPr="00EA0845">
        <w:rPr>
          <w:rFonts w:ascii="Arial" w:hAnsi="Arial" w:cs="Arial"/>
          <w:lang w:val="en-CA"/>
        </w:rPr>
        <w:t xml:space="preserve"> – </w:t>
      </w:r>
      <w:proofErr w:type="spellStart"/>
      <w:r w:rsidRPr="004B13E3">
        <w:rPr>
          <w:rFonts w:ascii="Arial" w:hAnsi="Arial" w:cs="Arial"/>
          <w:i/>
          <w:lang w:val="en-CA"/>
        </w:rPr>
        <w:t>erga</w:t>
      </w:r>
      <w:proofErr w:type="spellEnd"/>
      <w:r w:rsidRPr="004B13E3">
        <w:rPr>
          <w:rFonts w:ascii="Arial" w:hAnsi="Arial" w:cs="Arial"/>
          <w:i/>
          <w:lang w:val="en-CA"/>
        </w:rPr>
        <w:t xml:space="preserve"> </w:t>
      </w:r>
      <w:proofErr w:type="spellStart"/>
      <w:r w:rsidRPr="004B13E3">
        <w:rPr>
          <w:rFonts w:ascii="Arial" w:hAnsi="Arial" w:cs="Arial"/>
          <w:i/>
          <w:lang w:val="en-CA"/>
        </w:rPr>
        <w:t>omnes</w:t>
      </w:r>
      <w:proofErr w:type="spellEnd"/>
      <w:r w:rsidRPr="00EA0845">
        <w:rPr>
          <w:rFonts w:ascii="Arial" w:hAnsi="Arial" w:cs="Arial"/>
          <w:lang w:val="en-CA"/>
        </w:rPr>
        <w:t xml:space="preserve"> –soft law</w:t>
      </w:r>
    </w:p>
    <w:p w14:paraId="70E62769" w14:textId="77777777" w:rsidR="00332A0E" w:rsidRDefault="00332A0E" w:rsidP="00332A0E">
      <w:pPr>
        <w:jc w:val="both"/>
        <w:rPr>
          <w:rFonts w:ascii="Arial" w:hAnsi="Arial" w:cs="Arial"/>
          <w:b/>
          <w:lang w:val="en-CA"/>
        </w:rPr>
      </w:pPr>
    </w:p>
    <w:p w14:paraId="4882EDB7" w14:textId="77777777" w:rsidR="00332A0E" w:rsidRDefault="00332A0E" w:rsidP="00332A0E">
      <w:pPr>
        <w:rPr>
          <w:rFonts w:ascii="Arial" w:hAnsi="Arial" w:cs="Arial"/>
          <w:bCs/>
          <w:u w:val="single"/>
          <w:lang w:val="en-GB"/>
        </w:rPr>
      </w:pPr>
      <w:r w:rsidRPr="009D7A69">
        <w:rPr>
          <w:rFonts w:ascii="Arial" w:hAnsi="Arial" w:cs="Arial"/>
          <w:bCs/>
          <w:u w:val="single"/>
          <w:lang w:val="en-GB"/>
        </w:rPr>
        <w:lastRenderedPageBreak/>
        <w:t xml:space="preserve">Readings: </w:t>
      </w:r>
    </w:p>
    <w:p w14:paraId="61E66802" w14:textId="77777777" w:rsidR="00332A0E" w:rsidRPr="001560D0" w:rsidRDefault="00332A0E" w:rsidP="00332A0E">
      <w:pPr>
        <w:numPr>
          <w:ilvl w:val="0"/>
          <w:numId w:val="9"/>
        </w:numPr>
        <w:jc w:val="both"/>
        <w:rPr>
          <w:rFonts w:ascii="Arial" w:hAnsi="Arial" w:cs="Arial"/>
          <w:b/>
          <w:lang w:val="fr-CA"/>
        </w:rPr>
      </w:pPr>
      <w:r>
        <w:rPr>
          <w:rFonts w:ascii="Arial" w:hAnsi="Arial" w:cs="Arial"/>
          <w:iCs/>
          <w:lang w:val="fr-CA"/>
        </w:rPr>
        <w:t xml:space="preserve">Entries </w:t>
      </w:r>
      <w:proofErr w:type="spellStart"/>
      <w:r>
        <w:rPr>
          <w:rFonts w:ascii="Arial" w:hAnsi="Arial" w:cs="Arial"/>
          <w:iCs/>
          <w:lang w:val="fr-CA"/>
        </w:rPr>
        <w:t>from</w:t>
      </w:r>
      <w:proofErr w:type="spellEnd"/>
      <w:r>
        <w:rPr>
          <w:rFonts w:ascii="Arial" w:hAnsi="Arial" w:cs="Arial"/>
          <w:iCs/>
          <w:lang w:val="fr-CA"/>
        </w:rPr>
        <w:t xml:space="preserve"> Max-Planck </w:t>
      </w:r>
      <w:proofErr w:type="spellStart"/>
      <w:r>
        <w:rPr>
          <w:rFonts w:ascii="Arial" w:hAnsi="Arial" w:cs="Arial"/>
          <w:iCs/>
          <w:lang w:val="fr-CA"/>
        </w:rPr>
        <w:t>Encyclopaedia</w:t>
      </w:r>
      <w:proofErr w:type="spellEnd"/>
      <w:r>
        <w:rPr>
          <w:rFonts w:ascii="Arial" w:hAnsi="Arial" w:cs="Arial"/>
          <w:iCs/>
          <w:lang w:val="fr-CA"/>
        </w:rPr>
        <w:t xml:space="preserve">: </w:t>
      </w:r>
      <w:r w:rsidRPr="001560D0">
        <w:rPr>
          <w:rFonts w:ascii="Arial" w:hAnsi="Arial" w:cs="Arial"/>
          <w:iCs/>
          <w:lang w:val="fr-CA"/>
        </w:rPr>
        <w:t xml:space="preserve">Obligations erga </w:t>
      </w:r>
      <w:proofErr w:type="spellStart"/>
      <w:r w:rsidRPr="001560D0">
        <w:rPr>
          <w:rFonts w:ascii="Arial" w:hAnsi="Arial" w:cs="Arial"/>
          <w:iCs/>
          <w:lang w:val="fr-CA"/>
        </w:rPr>
        <w:t>omnes</w:t>
      </w:r>
      <w:proofErr w:type="spellEnd"/>
      <w:r w:rsidRPr="001560D0">
        <w:rPr>
          <w:rFonts w:ascii="Arial" w:hAnsi="Arial" w:cs="Arial"/>
          <w:iCs/>
          <w:lang w:val="fr-CA"/>
        </w:rPr>
        <w:t xml:space="preserve"> (Jochen </w:t>
      </w:r>
      <w:proofErr w:type="spellStart"/>
      <w:r w:rsidRPr="001560D0">
        <w:rPr>
          <w:rFonts w:ascii="Arial" w:hAnsi="Arial" w:cs="Arial"/>
          <w:iCs/>
          <w:lang w:val="fr-CA"/>
        </w:rPr>
        <w:t>Frowein</w:t>
      </w:r>
      <w:proofErr w:type="spellEnd"/>
      <w:r w:rsidRPr="001560D0">
        <w:rPr>
          <w:rFonts w:ascii="Arial" w:hAnsi="Arial" w:cs="Arial"/>
          <w:iCs/>
          <w:lang w:val="fr-CA"/>
        </w:rPr>
        <w:t xml:space="preserve">), Jus </w:t>
      </w:r>
      <w:proofErr w:type="spellStart"/>
      <w:r w:rsidRPr="001560D0">
        <w:rPr>
          <w:rFonts w:ascii="Arial" w:hAnsi="Arial" w:cs="Arial"/>
          <w:iCs/>
          <w:lang w:val="fr-CA"/>
        </w:rPr>
        <w:t>cogens</w:t>
      </w:r>
      <w:proofErr w:type="spellEnd"/>
      <w:r w:rsidRPr="001560D0">
        <w:rPr>
          <w:rFonts w:ascii="Arial" w:hAnsi="Arial" w:cs="Arial"/>
          <w:iCs/>
          <w:lang w:val="fr-CA"/>
        </w:rPr>
        <w:t xml:space="preserve"> (Jochen </w:t>
      </w:r>
      <w:proofErr w:type="spellStart"/>
      <w:r w:rsidRPr="001560D0">
        <w:rPr>
          <w:rFonts w:ascii="Arial" w:hAnsi="Arial" w:cs="Arial"/>
          <w:iCs/>
          <w:lang w:val="fr-CA"/>
        </w:rPr>
        <w:t>Frowein</w:t>
      </w:r>
      <w:proofErr w:type="spellEnd"/>
      <w:r w:rsidRPr="001560D0">
        <w:rPr>
          <w:rFonts w:ascii="Arial" w:hAnsi="Arial" w:cs="Arial"/>
          <w:iCs/>
          <w:lang w:val="fr-CA"/>
        </w:rPr>
        <w:t>)</w:t>
      </w:r>
    </w:p>
    <w:p w14:paraId="5F310F75" w14:textId="77777777" w:rsidR="00332A0E" w:rsidRPr="001560D0" w:rsidRDefault="00332A0E" w:rsidP="00332A0E">
      <w:pPr>
        <w:jc w:val="both"/>
        <w:rPr>
          <w:rFonts w:ascii="Arial" w:hAnsi="Arial" w:cs="Arial"/>
          <w:b/>
          <w:lang w:val="fr-CA"/>
        </w:rPr>
      </w:pPr>
    </w:p>
    <w:p w14:paraId="782AE992" w14:textId="77777777" w:rsidR="00332A0E" w:rsidRPr="00E91904" w:rsidRDefault="00332A0E" w:rsidP="00332A0E">
      <w:pPr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5</w:t>
      </w:r>
      <w:r w:rsidRPr="00E91904">
        <w:rPr>
          <w:rFonts w:ascii="Arial" w:hAnsi="Arial" w:cs="Arial"/>
          <w:b/>
          <w:lang w:val="en-CA"/>
        </w:rPr>
        <w:t>. Critical evaluation of the theory of sources</w:t>
      </w:r>
    </w:p>
    <w:p w14:paraId="01E3B573" w14:textId="77777777" w:rsidR="00332A0E" w:rsidRPr="00E91904" w:rsidRDefault="00332A0E" w:rsidP="00332A0E">
      <w:pPr>
        <w:jc w:val="both"/>
        <w:rPr>
          <w:rFonts w:ascii="Arial" w:hAnsi="Arial" w:cs="Arial"/>
          <w:lang w:val="en-CA"/>
        </w:rPr>
      </w:pPr>
    </w:p>
    <w:p w14:paraId="17B4BD12" w14:textId="50962059" w:rsidR="00332A0E" w:rsidRPr="00E91904" w:rsidRDefault="00332A0E" w:rsidP="00332A0E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CA"/>
        </w:rPr>
      </w:pPr>
      <w:r w:rsidRPr="00E91904">
        <w:rPr>
          <w:rFonts w:ascii="Arial" w:hAnsi="Arial" w:cs="Arial"/>
          <w:b/>
          <w:lang w:val="en-CA"/>
        </w:rPr>
        <w:t xml:space="preserve">WEEK </w:t>
      </w:r>
      <w:r>
        <w:rPr>
          <w:rFonts w:ascii="Arial" w:hAnsi="Arial" w:cs="Arial"/>
          <w:b/>
          <w:lang w:val="en-CA"/>
        </w:rPr>
        <w:t>6 and 7 (24 and 31 October 2019)</w:t>
      </w:r>
    </w:p>
    <w:p w14:paraId="0BC6092D" w14:textId="77777777" w:rsidR="00332A0E" w:rsidRDefault="00332A0E" w:rsidP="00332A0E">
      <w:pPr>
        <w:rPr>
          <w:rFonts w:ascii="Arial" w:hAnsi="Arial" w:cs="Arial"/>
          <w:smallCaps/>
          <w:lang w:val="en-CA"/>
        </w:rPr>
      </w:pPr>
    </w:p>
    <w:p w14:paraId="475ABF37" w14:textId="77777777" w:rsidR="00332A0E" w:rsidRPr="00E91904" w:rsidRDefault="00332A0E" w:rsidP="00332A0E">
      <w:pPr>
        <w:rPr>
          <w:rFonts w:ascii="Arial" w:hAnsi="Arial" w:cs="Arial"/>
          <w:smallCaps/>
          <w:lang w:val="en-CA"/>
        </w:rPr>
      </w:pPr>
      <w:r w:rsidRPr="00E91904">
        <w:rPr>
          <w:rFonts w:ascii="Arial" w:hAnsi="Arial" w:cs="Arial"/>
          <w:smallCaps/>
          <w:lang w:val="en-CA"/>
        </w:rPr>
        <w:t>Subjects of Public International Law</w:t>
      </w:r>
    </w:p>
    <w:p w14:paraId="7F667FD6" w14:textId="77777777" w:rsidR="00332A0E" w:rsidRPr="00E91904" w:rsidRDefault="00332A0E" w:rsidP="00332A0E">
      <w:pPr>
        <w:jc w:val="center"/>
        <w:rPr>
          <w:rFonts w:ascii="Arial" w:hAnsi="Arial" w:cs="Arial"/>
          <w:smallCaps/>
          <w:lang w:val="en-CA"/>
        </w:rPr>
      </w:pPr>
    </w:p>
    <w:p w14:paraId="1A43334C" w14:textId="77777777" w:rsidR="00332A0E" w:rsidRPr="00DE6604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DE6604">
        <w:rPr>
          <w:rFonts w:ascii="Arial" w:hAnsi="Arial" w:cs="Arial"/>
          <w:b/>
          <w:lang w:val="en-CA"/>
        </w:rPr>
        <w:t>1. Overview</w:t>
      </w:r>
    </w:p>
    <w:p w14:paraId="1F13BC82" w14:textId="77777777" w:rsidR="00332A0E" w:rsidRPr="00DE6604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DE6604">
        <w:rPr>
          <w:rFonts w:ascii="Arial" w:hAnsi="Arial" w:cs="Arial"/>
          <w:b/>
          <w:lang w:val="en-CA"/>
        </w:rPr>
        <w:t>2. States</w:t>
      </w:r>
    </w:p>
    <w:p w14:paraId="53338F28" w14:textId="77777777" w:rsidR="00332A0E" w:rsidRPr="00106E09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106E09">
        <w:rPr>
          <w:rFonts w:ascii="Arial" w:hAnsi="Arial" w:cs="Arial"/>
          <w:lang w:val="en-CA"/>
        </w:rPr>
        <w:t xml:space="preserve">a) </w:t>
      </w:r>
      <w:r>
        <w:rPr>
          <w:rFonts w:ascii="Arial" w:hAnsi="Arial" w:cs="Arial"/>
          <w:lang w:val="en-CA"/>
        </w:rPr>
        <w:t>Acquisition of legal personality</w:t>
      </w:r>
    </w:p>
    <w:p w14:paraId="7C07D9C1" w14:textId="77777777" w:rsidR="00332A0E" w:rsidRPr="00106E09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106E09">
        <w:rPr>
          <w:rFonts w:ascii="Arial" w:hAnsi="Arial" w:cs="Arial"/>
          <w:lang w:val="en-CA"/>
        </w:rPr>
        <w:t>b) Competencies</w:t>
      </w:r>
    </w:p>
    <w:p w14:paraId="5439B45A" w14:textId="77777777" w:rsidR="00332A0E" w:rsidRPr="00106E09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106E09">
        <w:rPr>
          <w:rFonts w:ascii="Arial" w:hAnsi="Arial" w:cs="Arial"/>
          <w:lang w:val="en-CA"/>
        </w:rPr>
        <w:t>c) Immunities</w:t>
      </w:r>
    </w:p>
    <w:p w14:paraId="44C8C89F" w14:textId="77777777" w:rsidR="00332A0E" w:rsidRPr="00136C53" w:rsidRDefault="00332A0E" w:rsidP="00332A0E">
      <w:pPr>
        <w:jc w:val="both"/>
        <w:rPr>
          <w:rFonts w:ascii="Arial" w:hAnsi="Arial" w:cs="Arial"/>
          <w:lang w:val="fr-CH"/>
        </w:rPr>
      </w:pPr>
    </w:p>
    <w:p w14:paraId="65C55320" w14:textId="77777777" w:rsidR="00332A0E" w:rsidRPr="00617689" w:rsidRDefault="00332A0E" w:rsidP="00332A0E">
      <w:pPr>
        <w:jc w:val="both"/>
        <w:rPr>
          <w:rFonts w:ascii="Arial" w:hAnsi="Arial" w:cs="Arial"/>
          <w:u w:val="single"/>
          <w:lang w:val="fr-CH"/>
        </w:rPr>
      </w:pPr>
      <w:proofErr w:type="spellStart"/>
      <w:proofErr w:type="gramStart"/>
      <w:r>
        <w:rPr>
          <w:rFonts w:ascii="Arial" w:hAnsi="Arial" w:cs="Arial"/>
          <w:u w:val="single"/>
          <w:lang w:val="fr-CH"/>
        </w:rPr>
        <w:t>Readings</w:t>
      </w:r>
      <w:proofErr w:type="spellEnd"/>
      <w:r w:rsidRPr="00617689">
        <w:rPr>
          <w:rFonts w:ascii="Arial" w:hAnsi="Arial" w:cs="Arial"/>
          <w:u w:val="single"/>
          <w:lang w:val="fr-CH"/>
        </w:rPr>
        <w:t>:</w:t>
      </w:r>
      <w:proofErr w:type="gramEnd"/>
    </w:p>
    <w:p w14:paraId="5E12EAE2" w14:textId="77777777" w:rsidR="00332A0E" w:rsidRPr="00934F61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934F61">
        <w:rPr>
          <w:rFonts w:ascii="Arial" w:hAnsi="Arial" w:cs="Arial"/>
          <w:bCs/>
          <w:lang w:val="en-CA" w:eastAsia="fr-CA"/>
        </w:rPr>
        <w:t>Island of Palmas case (Netherlands</w:t>
      </w:r>
      <w:r>
        <w:rPr>
          <w:rFonts w:ascii="Arial" w:hAnsi="Arial" w:cs="Arial"/>
          <w:bCs/>
          <w:lang w:val="en-CA" w:eastAsia="fr-CA"/>
        </w:rPr>
        <w:t xml:space="preserve"> v</w:t>
      </w:r>
      <w:r w:rsidRPr="00934F61">
        <w:rPr>
          <w:rFonts w:ascii="Arial" w:hAnsi="Arial" w:cs="Arial"/>
          <w:bCs/>
          <w:lang w:val="en-CA" w:eastAsia="fr-CA"/>
        </w:rPr>
        <w:t xml:space="preserve"> USA)</w:t>
      </w:r>
      <w:r w:rsidRPr="00934F61">
        <w:rPr>
          <w:rFonts w:ascii="Arial" w:hAnsi="Arial" w:cs="Arial"/>
          <w:lang w:val="en-CA"/>
        </w:rPr>
        <w:t xml:space="preserve">, 4 </w:t>
      </w:r>
      <w:r>
        <w:rPr>
          <w:rFonts w:ascii="Arial" w:hAnsi="Arial" w:cs="Arial"/>
          <w:lang w:val="en-CA"/>
        </w:rPr>
        <w:t>April</w:t>
      </w:r>
      <w:r w:rsidRPr="00934F61">
        <w:rPr>
          <w:rFonts w:ascii="Arial" w:hAnsi="Arial" w:cs="Arial"/>
          <w:lang w:val="en-CA"/>
        </w:rPr>
        <w:t xml:space="preserve"> 1928, 2 </w:t>
      </w:r>
      <w:r>
        <w:rPr>
          <w:rFonts w:ascii="Arial" w:hAnsi="Arial" w:cs="Arial"/>
          <w:lang w:val="en-CA"/>
        </w:rPr>
        <w:t>UN Rep. Int’l Arbitration Awards</w:t>
      </w:r>
      <w:r w:rsidRPr="00934F61">
        <w:rPr>
          <w:rFonts w:ascii="Arial" w:hAnsi="Arial" w:cs="Arial"/>
          <w:lang w:val="en-CA"/>
        </w:rPr>
        <w:t xml:space="preserve"> 829</w:t>
      </w:r>
      <w:r>
        <w:rPr>
          <w:rFonts w:ascii="Arial" w:hAnsi="Arial" w:cs="Arial"/>
          <w:lang w:val="en-CA"/>
        </w:rPr>
        <w:t xml:space="preserve">, available at </w:t>
      </w:r>
      <w:r>
        <w:rPr>
          <w:rStyle w:val="HTMLCite"/>
        </w:rPr>
        <w:t>legal.un.org/</w:t>
      </w:r>
      <w:proofErr w:type="spellStart"/>
      <w:r>
        <w:rPr>
          <w:rStyle w:val="HTMLCite"/>
        </w:rPr>
        <w:t>riaa</w:t>
      </w:r>
      <w:proofErr w:type="spellEnd"/>
      <w:r>
        <w:rPr>
          <w:rStyle w:val="HTMLCite"/>
        </w:rPr>
        <w:t>/cases/</w:t>
      </w:r>
      <w:proofErr w:type="spellStart"/>
      <w:r>
        <w:rPr>
          <w:rStyle w:val="HTMLCite"/>
        </w:rPr>
        <w:t>vol_II</w:t>
      </w:r>
      <w:proofErr w:type="spellEnd"/>
      <w:r>
        <w:rPr>
          <w:rStyle w:val="HTMLCite"/>
        </w:rPr>
        <w:t xml:space="preserve">/829-871.pdf </w:t>
      </w:r>
    </w:p>
    <w:p w14:paraId="16C9CE66" w14:textId="77777777" w:rsidR="00332A0E" w:rsidRPr="00F71100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F71100">
        <w:rPr>
          <w:rFonts w:ascii="Arial" w:hAnsi="Arial" w:cs="Arial"/>
          <w:bCs/>
          <w:lang w:val="en-CA"/>
        </w:rPr>
        <w:t xml:space="preserve">Corfu Channel (United Kingdom of Great Britain and Northern Ireland </w:t>
      </w:r>
      <w:r w:rsidRPr="00F71100">
        <w:rPr>
          <w:rFonts w:ascii="Arial" w:hAnsi="Arial" w:cs="Arial"/>
          <w:bCs/>
          <w:i/>
          <w:iCs/>
          <w:lang w:val="en-CA"/>
        </w:rPr>
        <w:t>v.</w:t>
      </w:r>
      <w:r w:rsidRPr="00F71100">
        <w:rPr>
          <w:rFonts w:ascii="Arial" w:hAnsi="Arial" w:cs="Arial"/>
          <w:bCs/>
          <w:lang w:val="en-CA"/>
        </w:rPr>
        <w:t xml:space="preserve"> Albania)</w:t>
      </w:r>
      <w:r w:rsidRPr="00F71100">
        <w:rPr>
          <w:rFonts w:ascii="Arial" w:hAnsi="Arial" w:cs="Arial"/>
          <w:lang w:val="en-CA"/>
        </w:rPr>
        <w:t xml:space="preserve">, </w:t>
      </w:r>
      <w:r>
        <w:rPr>
          <w:rFonts w:ascii="Arial" w:hAnsi="Arial" w:cs="Arial"/>
          <w:lang w:val="en-CA"/>
        </w:rPr>
        <w:t>judgement,</w:t>
      </w:r>
      <w:r w:rsidRPr="00F71100">
        <w:rPr>
          <w:rFonts w:ascii="Arial" w:hAnsi="Arial" w:cs="Arial"/>
          <w:lang w:val="en-CA"/>
        </w:rPr>
        <w:t xml:space="preserve"> 9 April 1949, ICJ Reports 1949, p. 4</w:t>
      </w:r>
      <w:r>
        <w:rPr>
          <w:rFonts w:ascii="Arial" w:hAnsi="Arial" w:cs="Arial"/>
          <w:lang w:val="en-CA"/>
        </w:rPr>
        <w:t xml:space="preserve"> (read just the judgement itself, not the declarations attached to it)</w:t>
      </w:r>
    </w:p>
    <w:p w14:paraId="56FFE0EA" w14:textId="77777777" w:rsidR="00332A0E" w:rsidRPr="00F71100" w:rsidRDefault="00332A0E" w:rsidP="00332A0E">
      <w:pPr>
        <w:numPr>
          <w:ilvl w:val="0"/>
          <w:numId w:val="2"/>
        </w:numPr>
        <w:jc w:val="both"/>
        <w:rPr>
          <w:rFonts w:ascii="Arial" w:hAnsi="Arial" w:cs="Arial"/>
          <w:lang w:val="en-CA"/>
        </w:rPr>
      </w:pPr>
      <w:r w:rsidRPr="00F71100">
        <w:rPr>
          <w:rFonts w:ascii="Arial" w:hAnsi="Arial" w:cs="Arial"/>
          <w:bCs/>
          <w:lang w:val="en-CA"/>
        </w:rPr>
        <w:t xml:space="preserve">Jurisdictional Immunities of the State (Germany </w:t>
      </w:r>
      <w:r w:rsidRPr="00F71100">
        <w:rPr>
          <w:rFonts w:ascii="Arial" w:hAnsi="Arial" w:cs="Arial"/>
          <w:bCs/>
          <w:i/>
          <w:iCs/>
          <w:lang w:val="en-CA"/>
        </w:rPr>
        <w:t>v.</w:t>
      </w:r>
      <w:r w:rsidRPr="00F71100">
        <w:rPr>
          <w:rFonts w:ascii="Arial" w:hAnsi="Arial" w:cs="Arial"/>
          <w:bCs/>
          <w:lang w:val="en-CA"/>
        </w:rPr>
        <w:t xml:space="preserve"> Italy: G</w:t>
      </w:r>
      <w:r>
        <w:rPr>
          <w:rFonts w:ascii="Arial" w:hAnsi="Arial" w:cs="Arial"/>
          <w:bCs/>
          <w:lang w:val="en-CA"/>
        </w:rPr>
        <w:t>reece intervening), judgement,</w:t>
      </w:r>
      <w:r w:rsidRPr="00F71100">
        <w:rPr>
          <w:rFonts w:ascii="Arial" w:hAnsi="Arial" w:cs="Arial"/>
          <w:bCs/>
          <w:lang w:val="en-CA"/>
        </w:rPr>
        <w:t xml:space="preserve"> 3 February 2012, ICJ Reports</w:t>
      </w:r>
    </w:p>
    <w:p w14:paraId="31646440" w14:textId="77777777" w:rsidR="00332A0E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187F34">
        <w:rPr>
          <w:rFonts w:ascii="Arial" w:hAnsi="Arial" w:cs="Arial"/>
          <w:bCs/>
          <w:lang w:val="en-CA"/>
        </w:rPr>
        <w:t xml:space="preserve">Arrest Warrant of 11 April 2000 (Democratic Republic of the Congo </w:t>
      </w:r>
      <w:r w:rsidRPr="00187F34">
        <w:rPr>
          <w:rFonts w:ascii="Arial" w:hAnsi="Arial" w:cs="Arial"/>
          <w:bCs/>
          <w:i/>
          <w:iCs/>
          <w:lang w:val="en-CA"/>
        </w:rPr>
        <w:t>v.</w:t>
      </w:r>
      <w:r w:rsidRPr="00187F34">
        <w:rPr>
          <w:rFonts w:ascii="Arial" w:hAnsi="Arial" w:cs="Arial"/>
          <w:bCs/>
          <w:lang w:val="en-CA"/>
        </w:rPr>
        <w:t xml:space="preserve"> Belgium),</w:t>
      </w:r>
      <w:r w:rsidRPr="00187F34">
        <w:rPr>
          <w:rFonts w:ascii="Arial" w:hAnsi="Arial" w:cs="Arial"/>
          <w:lang w:val="en-CA"/>
        </w:rPr>
        <w:t xml:space="preserve"> judgement, 14 February 2002, ICJ Reports 2002, p. 3 (paragraphs 1, 13-15, 45,</w:t>
      </w:r>
      <w:r w:rsidRPr="00887028">
        <w:rPr>
          <w:rFonts w:ascii="Arial" w:hAnsi="Arial" w:cs="Arial"/>
          <w:lang w:val="en-CA"/>
        </w:rPr>
        <w:t xml:space="preserve"> 46, 51-78)</w:t>
      </w:r>
      <w:r>
        <w:rPr>
          <w:rFonts w:ascii="Arial" w:hAnsi="Arial" w:cs="Arial"/>
          <w:lang w:val="en-CA"/>
        </w:rPr>
        <w:t xml:space="preserve"> and </w:t>
      </w:r>
      <w:r w:rsidRPr="00887028">
        <w:rPr>
          <w:rFonts w:ascii="Arial" w:hAnsi="Arial" w:cs="Arial"/>
          <w:iCs/>
          <w:lang w:val="en-CA"/>
        </w:rPr>
        <w:t xml:space="preserve">Joint separate opinion of Judges Higgins, </w:t>
      </w:r>
      <w:proofErr w:type="spellStart"/>
      <w:r w:rsidRPr="00887028">
        <w:rPr>
          <w:rFonts w:ascii="Arial" w:hAnsi="Arial" w:cs="Arial"/>
          <w:iCs/>
          <w:lang w:val="en-CA"/>
        </w:rPr>
        <w:t>Kooijmans</w:t>
      </w:r>
      <w:proofErr w:type="spellEnd"/>
      <w:r w:rsidRPr="00887028">
        <w:rPr>
          <w:rFonts w:ascii="Arial" w:hAnsi="Arial" w:cs="Arial"/>
          <w:iCs/>
          <w:lang w:val="en-CA"/>
        </w:rPr>
        <w:t xml:space="preserve"> and </w:t>
      </w:r>
      <w:proofErr w:type="spellStart"/>
      <w:r w:rsidRPr="00887028">
        <w:rPr>
          <w:rFonts w:ascii="Arial" w:hAnsi="Arial" w:cs="Arial"/>
          <w:iCs/>
          <w:lang w:val="en-CA"/>
        </w:rPr>
        <w:t>Buergenthal</w:t>
      </w:r>
      <w:proofErr w:type="spellEnd"/>
      <w:r w:rsidRPr="00887028">
        <w:rPr>
          <w:rFonts w:ascii="Arial" w:hAnsi="Arial" w:cs="Arial"/>
          <w:lang w:val="en-CA"/>
        </w:rPr>
        <w:t xml:space="preserve"> (para</w:t>
      </w:r>
      <w:r>
        <w:rPr>
          <w:rFonts w:ascii="Arial" w:hAnsi="Arial" w:cs="Arial"/>
          <w:lang w:val="en-CA"/>
        </w:rPr>
        <w:t>s</w:t>
      </w:r>
      <w:r w:rsidRPr="00887028">
        <w:rPr>
          <w:rFonts w:ascii="Arial" w:hAnsi="Arial" w:cs="Arial"/>
          <w:lang w:val="en-CA"/>
        </w:rPr>
        <w:t>. 1-5, 17, 18, 19, 45-52, 70-89)</w:t>
      </w:r>
    </w:p>
    <w:p w14:paraId="7366ACA9" w14:textId="77777777" w:rsidR="00332A0E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Entries from the Max-Planck Encyclopaedia: Subjects of International Law (Christian Walter), Sovereignty (Samantha Besson), State (James Crawford), Governments (Siegfried </w:t>
      </w:r>
      <w:proofErr w:type="spellStart"/>
      <w:r>
        <w:rPr>
          <w:rFonts w:ascii="Arial" w:hAnsi="Arial" w:cs="Arial"/>
          <w:lang w:val="en-CA"/>
        </w:rPr>
        <w:t>Magiera</w:t>
      </w:r>
      <w:proofErr w:type="spellEnd"/>
      <w:r>
        <w:rPr>
          <w:rFonts w:ascii="Arial" w:hAnsi="Arial" w:cs="Arial"/>
          <w:lang w:val="en-CA"/>
        </w:rPr>
        <w:t>)</w:t>
      </w:r>
    </w:p>
    <w:p w14:paraId="44FABF30" w14:textId="77777777" w:rsidR="00332A0E" w:rsidRDefault="00332A0E" w:rsidP="00332A0E">
      <w:pPr>
        <w:autoSpaceDE w:val="0"/>
        <w:autoSpaceDN w:val="0"/>
        <w:adjustRightInd w:val="0"/>
        <w:rPr>
          <w:rFonts w:ascii="Arial" w:hAnsi="Arial" w:cs="Arial"/>
          <w:lang w:val="en-CA"/>
        </w:rPr>
      </w:pPr>
    </w:p>
    <w:p w14:paraId="62856E93" w14:textId="77777777" w:rsidR="00332A0E" w:rsidRPr="00187F34" w:rsidRDefault="00332A0E" w:rsidP="00332A0E">
      <w:pPr>
        <w:rPr>
          <w:rFonts w:ascii="Arial" w:hAnsi="Arial" w:cs="Arial"/>
          <w:lang w:val="en-GB"/>
        </w:rPr>
      </w:pPr>
      <w:r w:rsidRPr="009D7A69">
        <w:rPr>
          <w:rFonts w:ascii="Arial" w:hAnsi="Arial" w:cs="Arial"/>
          <w:bCs/>
          <w:u w:val="single"/>
          <w:lang w:val="en-GB"/>
        </w:rPr>
        <w:t>Additional reading</w:t>
      </w:r>
      <w:r>
        <w:rPr>
          <w:rFonts w:ascii="Arial" w:hAnsi="Arial" w:cs="Arial"/>
          <w:bCs/>
          <w:u w:val="single"/>
          <w:lang w:val="en-GB"/>
        </w:rPr>
        <w:t>s</w:t>
      </w:r>
      <w:r w:rsidRPr="009D7A69">
        <w:rPr>
          <w:rFonts w:ascii="Arial" w:hAnsi="Arial" w:cs="Arial"/>
          <w:u w:val="single"/>
          <w:lang w:val="en-GB"/>
        </w:rPr>
        <w:t xml:space="preserve">: </w:t>
      </w:r>
    </w:p>
    <w:p w14:paraId="33EFEAF3" w14:textId="77777777" w:rsidR="00332A0E" w:rsidRPr="00187F34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187F34">
        <w:rPr>
          <w:rFonts w:ascii="Arial" w:hAnsi="Arial" w:cs="Arial"/>
          <w:lang w:val="en-CA"/>
        </w:rPr>
        <w:t>Matthew Craven</w:t>
      </w:r>
      <w:r>
        <w:rPr>
          <w:rFonts w:ascii="Arial" w:hAnsi="Arial" w:cs="Arial"/>
          <w:lang w:val="en-CA"/>
        </w:rPr>
        <w:t>,</w:t>
      </w:r>
      <w:r w:rsidRPr="00187F34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“</w:t>
      </w:r>
      <w:r w:rsidRPr="00187F34">
        <w:rPr>
          <w:rFonts w:ascii="Arial" w:hAnsi="Arial" w:cs="Arial"/>
          <w:lang w:val="en-CA"/>
        </w:rPr>
        <w:t>States and recognition in international law</w:t>
      </w:r>
      <w:r>
        <w:rPr>
          <w:rFonts w:ascii="Arial" w:hAnsi="Arial" w:cs="Arial"/>
          <w:lang w:val="en-CA"/>
        </w:rPr>
        <w:t xml:space="preserve">”, in </w:t>
      </w:r>
      <w:r w:rsidRPr="00934CA3">
        <w:rPr>
          <w:rFonts w:ascii="Arial" w:hAnsi="Arial" w:cs="Arial"/>
          <w:lang w:val="en-GB"/>
        </w:rPr>
        <w:t xml:space="preserve">M. 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</w:t>
      </w:r>
      <w:r w:rsidRPr="00934CA3">
        <w:rPr>
          <w:rFonts w:ascii="Arial" w:hAnsi="Arial" w:cs="Arial"/>
          <w:lang w:val="en-GB"/>
        </w:rPr>
        <w:t>)</w:t>
      </w:r>
    </w:p>
    <w:p w14:paraId="1615352F" w14:textId="77777777" w:rsidR="00332A0E" w:rsidRPr="00455647" w:rsidRDefault="00332A0E" w:rsidP="00332A0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Chanaka</w:t>
      </w:r>
      <w:proofErr w:type="spellEnd"/>
      <w:r>
        <w:rPr>
          <w:rFonts w:ascii="Arial" w:hAnsi="Arial" w:cs="Arial"/>
          <w:lang w:val="en-CA"/>
        </w:rPr>
        <w:t xml:space="preserve"> Wickremasinghe, “</w:t>
      </w:r>
      <w:r w:rsidRPr="00187F34">
        <w:rPr>
          <w:rFonts w:ascii="Arial" w:hAnsi="Arial" w:cs="Arial"/>
          <w:lang w:val="en-CA"/>
        </w:rPr>
        <w:t>Immunities enjoyed by officials of states and international organizations</w:t>
      </w:r>
      <w:r>
        <w:rPr>
          <w:rFonts w:ascii="Arial" w:hAnsi="Arial" w:cs="Arial"/>
          <w:lang w:val="en-CA"/>
        </w:rPr>
        <w:t>”,</w:t>
      </w:r>
      <w:r w:rsidRPr="00187F34">
        <w:rPr>
          <w:rFonts w:ascii="Arial" w:hAnsi="Arial" w:cs="Arial"/>
          <w:lang w:val="en-CA"/>
        </w:rPr>
        <w:t xml:space="preserve"> in </w:t>
      </w:r>
      <w:r w:rsidRPr="00934CA3">
        <w:rPr>
          <w:rFonts w:ascii="Arial" w:hAnsi="Arial" w:cs="Arial"/>
          <w:lang w:val="en-GB"/>
        </w:rPr>
        <w:t xml:space="preserve">M. 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</w:t>
      </w:r>
      <w:r w:rsidRPr="00934CA3">
        <w:rPr>
          <w:rFonts w:ascii="Arial" w:hAnsi="Arial" w:cs="Arial"/>
          <w:lang w:val="en-GB"/>
        </w:rPr>
        <w:t>)</w:t>
      </w:r>
    </w:p>
    <w:p w14:paraId="46A61BCC" w14:textId="77777777" w:rsidR="00332A0E" w:rsidRDefault="00332A0E" w:rsidP="00332A0E">
      <w:pPr>
        <w:jc w:val="both"/>
        <w:rPr>
          <w:rFonts w:ascii="Arial" w:hAnsi="Arial" w:cs="Arial"/>
          <w:lang w:val="en-CA"/>
        </w:rPr>
      </w:pPr>
    </w:p>
    <w:p w14:paraId="6D854523" w14:textId="77777777" w:rsidR="00332A0E" w:rsidRDefault="00332A0E" w:rsidP="00332A0E">
      <w:pPr>
        <w:jc w:val="both"/>
        <w:rPr>
          <w:rFonts w:ascii="Arial" w:hAnsi="Arial" w:cs="Arial"/>
          <w:lang w:val="en-CA"/>
        </w:rPr>
      </w:pPr>
    </w:p>
    <w:p w14:paraId="2CBA3C5D" w14:textId="5D524657" w:rsidR="00332A0E" w:rsidRPr="00887028" w:rsidRDefault="00332A0E" w:rsidP="00332A0E">
      <w:pPr>
        <w:keepNext/>
        <w:pBdr>
          <w:bottom w:val="single" w:sz="4" w:space="1" w:color="auto"/>
        </w:pBdr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lastRenderedPageBreak/>
        <w:t>WEEK 8 (7 November 2019)</w:t>
      </w:r>
    </w:p>
    <w:p w14:paraId="7FAA7DF1" w14:textId="77777777" w:rsidR="00332A0E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</w:p>
    <w:p w14:paraId="4AAE95AA" w14:textId="77777777" w:rsidR="00332A0E" w:rsidRPr="00887028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  <w:r w:rsidRPr="00887028">
        <w:rPr>
          <w:rFonts w:ascii="Arial" w:hAnsi="Arial" w:cs="Arial"/>
          <w:b/>
          <w:lang w:val="en-CA"/>
        </w:rPr>
        <w:t xml:space="preserve">3. International Organisations and </w:t>
      </w:r>
      <w:r>
        <w:rPr>
          <w:rFonts w:ascii="Arial" w:hAnsi="Arial" w:cs="Arial"/>
          <w:b/>
          <w:lang w:val="en-CA"/>
        </w:rPr>
        <w:t>other subj</w:t>
      </w:r>
      <w:r w:rsidRPr="00887028">
        <w:rPr>
          <w:rFonts w:ascii="Arial" w:hAnsi="Arial" w:cs="Arial"/>
          <w:b/>
          <w:lang w:val="en-CA"/>
        </w:rPr>
        <w:t>ects of public</w:t>
      </w:r>
      <w:r>
        <w:rPr>
          <w:rFonts w:ascii="Arial" w:hAnsi="Arial" w:cs="Arial"/>
          <w:b/>
          <w:lang w:val="en-CA"/>
        </w:rPr>
        <w:t xml:space="preserve"> international law</w:t>
      </w:r>
    </w:p>
    <w:p w14:paraId="26B07233" w14:textId="77777777" w:rsidR="00332A0E" w:rsidRPr="00887028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 w:rsidRPr="00887028">
        <w:rPr>
          <w:rFonts w:ascii="Arial" w:hAnsi="Arial" w:cs="Arial"/>
          <w:lang w:val="en-CA"/>
        </w:rPr>
        <w:t>a) International organisations</w:t>
      </w:r>
    </w:p>
    <w:p w14:paraId="5A19E764" w14:textId="77777777" w:rsidR="00332A0E" w:rsidRPr="00887028" w:rsidRDefault="00332A0E" w:rsidP="00332A0E">
      <w:pPr>
        <w:keepNext/>
        <w:ind w:left="900" w:firstLine="516"/>
        <w:jc w:val="both"/>
        <w:rPr>
          <w:rFonts w:ascii="Arial" w:hAnsi="Arial" w:cs="Arial"/>
          <w:lang w:val="en-CA"/>
        </w:rPr>
      </w:pPr>
      <w:proofErr w:type="spellStart"/>
      <w:r w:rsidRPr="00887028">
        <w:rPr>
          <w:rFonts w:ascii="Arial" w:hAnsi="Arial" w:cs="Arial"/>
          <w:lang w:val="en-CA"/>
        </w:rPr>
        <w:t>i</w:t>
      </w:r>
      <w:proofErr w:type="spellEnd"/>
      <w:r w:rsidRPr="00887028">
        <w:rPr>
          <w:rFonts w:ascii="Arial" w:hAnsi="Arial" w:cs="Arial"/>
          <w:lang w:val="en-CA"/>
        </w:rPr>
        <w:t>) Nature of their legal personality</w:t>
      </w:r>
    </w:p>
    <w:p w14:paraId="2ECED181" w14:textId="77777777" w:rsidR="00332A0E" w:rsidRPr="00887028" w:rsidRDefault="00332A0E" w:rsidP="00332A0E">
      <w:pPr>
        <w:keepNext/>
        <w:ind w:left="900" w:firstLine="516"/>
        <w:jc w:val="both"/>
        <w:rPr>
          <w:rFonts w:ascii="Arial" w:hAnsi="Arial" w:cs="Arial"/>
          <w:lang w:val="en-CA"/>
        </w:rPr>
      </w:pPr>
      <w:r w:rsidRPr="00887028">
        <w:rPr>
          <w:rFonts w:ascii="Arial" w:hAnsi="Arial" w:cs="Arial"/>
          <w:lang w:val="en-CA"/>
        </w:rPr>
        <w:t>ii) Example of the Organisation of the United Nations</w:t>
      </w:r>
    </w:p>
    <w:p w14:paraId="4F480419" w14:textId="77777777" w:rsidR="00332A0E" w:rsidRPr="00887028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 w:rsidRPr="00887028">
        <w:rPr>
          <w:rFonts w:ascii="Arial" w:hAnsi="Arial" w:cs="Arial"/>
          <w:lang w:val="en-CA"/>
        </w:rPr>
        <w:t xml:space="preserve">b) Individuals </w:t>
      </w:r>
    </w:p>
    <w:p w14:paraId="18D222CE" w14:textId="77777777" w:rsidR="00332A0E" w:rsidRPr="00887028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 w:rsidRPr="00887028">
        <w:rPr>
          <w:rFonts w:ascii="Arial" w:hAnsi="Arial" w:cs="Arial"/>
          <w:lang w:val="en-CA"/>
        </w:rPr>
        <w:tab/>
      </w:r>
      <w:proofErr w:type="spellStart"/>
      <w:r w:rsidRPr="00887028">
        <w:rPr>
          <w:rFonts w:ascii="Arial" w:hAnsi="Arial" w:cs="Arial"/>
          <w:lang w:val="en-CA"/>
        </w:rPr>
        <w:t>i</w:t>
      </w:r>
      <w:proofErr w:type="spellEnd"/>
      <w:r w:rsidRPr="00887028">
        <w:rPr>
          <w:rFonts w:ascii="Arial" w:hAnsi="Arial" w:cs="Arial"/>
          <w:lang w:val="en-CA"/>
        </w:rPr>
        <w:t>) Links to the State</w:t>
      </w:r>
    </w:p>
    <w:p w14:paraId="508DE5A4" w14:textId="77777777" w:rsidR="00332A0E" w:rsidRPr="00887028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 w:rsidRPr="00887028">
        <w:rPr>
          <w:rFonts w:ascii="Arial" w:hAnsi="Arial" w:cs="Arial"/>
          <w:lang w:val="en-CA"/>
        </w:rPr>
        <w:tab/>
        <w:t>ii) International protection of human rights</w:t>
      </w:r>
    </w:p>
    <w:p w14:paraId="6EAFB63E" w14:textId="77777777" w:rsidR="00332A0E" w:rsidRPr="00887028" w:rsidRDefault="00332A0E" w:rsidP="00332A0E">
      <w:pPr>
        <w:keepNext/>
        <w:ind w:left="90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ab/>
        <w:t>iii) International criminal law and duties of individuals</w:t>
      </w:r>
    </w:p>
    <w:p w14:paraId="65EF576A" w14:textId="77777777" w:rsidR="00332A0E" w:rsidRDefault="00332A0E" w:rsidP="00332A0E">
      <w:pPr>
        <w:keepNext/>
        <w:ind w:left="900"/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c) </w:t>
      </w:r>
      <w:proofErr w:type="spellStart"/>
      <w:r>
        <w:rPr>
          <w:rFonts w:ascii="Arial" w:hAnsi="Arial" w:cs="Arial"/>
          <w:lang w:val="fr-CH"/>
        </w:rPr>
        <w:t>Other</w:t>
      </w:r>
      <w:proofErr w:type="spellEnd"/>
      <w:r>
        <w:rPr>
          <w:rFonts w:ascii="Arial" w:hAnsi="Arial" w:cs="Arial"/>
          <w:lang w:val="fr-CH"/>
        </w:rPr>
        <w:t xml:space="preserve"> </w:t>
      </w:r>
      <w:proofErr w:type="spellStart"/>
      <w:r>
        <w:rPr>
          <w:rFonts w:ascii="Arial" w:hAnsi="Arial" w:cs="Arial"/>
          <w:lang w:val="fr-CH"/>
        </w:rPr>
        <w:t>subjects</w:t>
      </w:r>
      <w:proofErr w:type="spellEnd"/>
    </w:p>
    <w:p w14:paraId="29F9771E" w14:textId="77777777" w:rsidR="00332A0E" w:rsidRDefault="00332A0E" w:rsidP="00332A0E">
      <w:pPr>
        <w:jc w:val="both"/>
        <w:rPr>
          <w:rFonts w:ascii="Arial" w:hAnsi="Arial" w:cs="Arial"/>
          <w:lang w:val="fr-CH"/>
        </w:rPr>
      </w:pPr>
    </w:p>
    <w:p w14:paraId="625B8C2B" w14:textId="77777777" w:rsidR="00332A0E" w:rsidRPr="00617689" w:rsidRDefault="00332A0E" w:rsidP="00332A0E">
      <w:pPr>
        <w:jc w:val="both"/>
        <w:rPr>
          <w:rFonts w:ascii="Arial" w:hAnsi="Arial" w:cs="Arial"/>
          <w:u w:val="single"/>
          <w:lang w:val="fr-CH"/>
        </w:rPr>
      </w:pPr>
      <w:proofErr w:type="spellStart"/>
      <w:proofErr w:type="gramStart"/>
      <w:r>
        <w:rPr>
          <w:rFonts w:ascii="Arial" w:hAnsi="Arial" w:cs="Arial"/>
          <w:u w:val="single"/>
          <w:lang w:val="fr-CH"/>
        </w:rPr>
        <w:t>Readings</w:t>
      </w:r>
      <w:proofErr w:type="spellEnd"/>
      <w:r w:rsidRPr="00617689">
        <w:rPr>
          <w:rFonts w:ascii="Arial" w:hAnsi="Arial" w:cs="Arial"/>
          <w:u w:val="single"/>
          <w:lang w:val="fr-CH"/>
        </w:rPr>
        <w:t>:</w:t>
      </w:r>
      <w:proofErr w:type="gramEnd"/>
    </w:p>
    <w:p w14:paraId="6D1D3864" w14:textId="77777777" w:rsidR="00332A0E" w:rsidRPr="00EA0845" w:rsidRDefault="00332A0E" w:rsidP="00332A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Charter of the United Nations</w:t>
      </w:r>
      <w:r w:rsidRPr="00187527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adopted</w:t>
      </w:r>
      <w:r w:rsidRPr="00187527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on </w:t>
      </w:r>
      <w:r w:rsidRPr="00187527">
        <w:rPr>
          <w:rFonts w:ascii="Arial" w:hAnsi="Arial" w:cs="Arial"/>
          <w:lang w:val="en-CA"/>
        </w:rPr>
        <w:t xml:space="preserve">26 </w:t>
      </w:r>
      <w:r>
        <w:rPr>
          <w:rFonts w:ascii="Arial" w:hAnsi="Arial" w:cs="Arial"/>
          <w:lang w:val="en-CA"/>
        </w:rPr>
        <w:t>June</w:t>
      </w:r>
      <w:r w:rsidRPr="00187527">
        <w:rPr>
          <w:rFonts w:ascii="Arial" w:hAnsi="Arial" w:cs="Arial"/>
          <w:lang w:val="en-CA"/>
        </w:rPr>
        <w:t xml:space="preserve"> 1945 (</w:t>
      </w:r>
      <w:r>
        <w:rPr>
          <w:rFonts w:ascii="Arial" w:hAnsi="Arial" w:cs="Arial"/>
          <w:lang w:val="en-CA"/>
        </w:rPr>
        <w:t>entered into force on</w:t>
      </w:r>
      <w:r w:rsidRPr="00187527">
        <w:rPr>
          <w:rFonts w:ascii="Arial" w:hAnsi="Arial" w:cs="Arial"/>
          <w:lang w:val="en-CA"/>
        </w:rPr>
        <w:t xml:space="preserve"> 25 </w:t>
      </w:r>
      <w:r>
        <w:rPr>
          <w:rFonts w:ascii="Arial" w:hAnsi="Arial" w:cs="Arial"/>
          <w:lang w:val="en-CA"/>
        </w:rPr>
        <w:t>October</w:t>
      </w:r>
      <w:r w:rsidRPr="00187527">
        <w:rPr>
          <w:rFonts w:ascii="Arial" w:hAnsi="Arial" w:cs="Arial"/>
          <w:lang w:val="en-CA"/>
        </w:rPr>
        <w:t xml:space="preserve"> 1945), </w:t>
      </w:r>
      <w:r>
        <w:rPr>
          <w:rFonts w:ascii="Arial" w:hAnsi="Arial" w:cs="Arial"/>
          <w:lang w:val="en-CA"/>
        </w:rPr>
        <w:t>available online. Read preamble and articles 1-32, 55, 61-72, 92-101.</w:t>
      </w:r>
    </w:p>
    <w:p w14:paraId="15094E50" w14:textId="77777777" w:rsidR="00332A0E" w:rsidRPr="002530B6" w:rsidRDefault="00332A0E" w:rsidP="00332A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 w:rsidRPr="00F71100">
        <w:rPr>
          <w:rFonts w:ascii="Arial" w:hAnsi="Arial" w:cs="Arial"/>
          <w:bCs/>
          <w:lang w:val="en-CA"/>
        </w:rPr>
        <w:t>Reparation for Injuries Suffered in the Service of the United Nations</w:t>
      </w:r>
      <w:r w:rsidRPr="00F71100">
        <w:rPr>
          <w:rFonts w:ascii="Arial" w:hAnsi="Arial" w:cs="Arial"/>
          <w:lang w:val="en-CA"/>
        </w:rPr>
        <w:t>, advisory</w:t>
      </w:r>
      <w:r>
        <w:rPr>
          <w:rFonts w:ascii="Arial" w:hAnsi="Arial" w:cs="Arial"/>
          <w:lang w:val="en-CA"/>
        </w:rPr>
        <w:t xml:space="preserve"> opinion,</w:t>
      </w:r>
      <w:r w:rsidRPr="002530B6">
        <w:rPr>
          <w:rFonts w:ascii="Arial" w:hAnsi="Arial" w:cs="Arial"/>
          <w:lang w:val="en-CA"/>
        </w:rPr>
        <w:t xml:space="preserve"> 11 </w:t>
      </w:r>
      <w:r>
        <w:rPr>
          <w:rFonts w:ascii="Arial" w:hAnsi="Arial" w:cs="Arial"/>
          <w:lang w:val="en-CA"/>
        </w:rPr>
        <w:t>April</w:t>
      </w:r>
      <w:r w:rsidRPr="002530B6">
        <w:rPr>
          <w:rFonts w:ascii="Arial" w:hAnsi="Arial" w:cs="Arial"/>
          <w:lang w:val="en-CA"/>
        </w:rPr>
        <w:t xml:space="preserve"> 1949, </w:t>
      </w:r>
      <w:r>
        <w:rPr>
          <w:rFonts w:ascii="Arial" w:hAnsi="Arial" w:cs="Arial"/>
          <w:lang w:val="en-CA"/>
        </w:rPr>
        <w:t>ICJ Reports</w:t>
      </w:r>
      <w:r w:rsidRPr="002530B6">
        <w:rPr>
          <w:rFonts w:ascii="Arial" w:hAnsi="Arial" w:cs="Arial"/>
          <w:lang w:val="en-CA"/>
        </w:rPr>
        <w:t xml:space="preserve"> 1949, p. 174</w:t>
      </w:r>
    </w:p>
    <w:p w14:paraId="210E21D0" w14:textId="77777777" w:rsidR="00332A0E" w:rsidRPr="00CC4839" w:rsidRDefault="00332A0E" w:rsidP="00332A0E">
      <w:pPr>
        <w:numPr>
          <w:ilvl w:val="0"/>
          <w:numId w:val="3"/>
        </w:numPr>
        <w:jc w:val="both"/>
        <w:rPr>
          <w:rFonts w:ascii="Arial" w:hAnsi="Arial" w:cs="Arial"/>
          <w:lang w:val="de-DE"/>
        </w:rPr>
      </w:pPr>
      <w:proofErr w:type="spellStart"/>
      <w:r w:rsidRPr="00CC4839">
        <w:rPr>
          <w:rFonts w:ascii="Arial" w:hAnsi="Arial" w:cs="Arial"/>
          <w:lang w:val="de-DE"/>
        </w:rPr>
        <w:t>Nottebohm</w:t>
      </w:r>
      <w:proofErr w:type="spellEnd"/>
      <w:r w:rsidRPr="00CC4839">
        <w:rPr>
          <w:rFonts w:ascii="Arial" w:hAnsi="Arial" w:cs="Arial"/>
          <w:lang w:val="de-DE"/>
        </w:rPr>
        <w:t xml:space="preserve"> (Liechtenstein </w:t>
      </w:r>
      <w:r w:rsidRPr="00CC4839">
        <w:rPr>
          <w:rFonts w:ascii="Arial" w:hAnsi="Arial" w:cs="Arial"/>
          <w:i/>
          <w:iCs/>
          <w:lang w:val="de-DE"/>
        </w:rPr>
        <w:t>v.</w:t>
      </w:r>
      <w:r w:rsidRPr="00CC4839">
        <w:rPr>
          <w:rFonts w:ascii="Arial" w:hAnsi="Arial" w:cs="Arial"/>
          <w:lang w:val="de-DE"/>
        </w:rPr>
        <w:t xml:space="preserve"> Guatemala)</w:t>
      </w:r>
      <w:r>
        <w:rPr>
          <w:rFonts w:ascii="Arial" w:hAnsi="Arial" w:cs="Arial"/>
          <w:iCs/>
          <w:lang w:val="de-DE"/>
        </w:rPr>
        <w:t xml:space="preserve">, </w:t>
      </w:r>
      <w:r w:rsidRPr="005D116C">
        <w:rPr>
          <w:rFonts w:ascii="Arial" w:hAnsi="Arial" w:cs="Arial"/>
          <w:iCs/>
          <w:lang w:val="en-GB"/>
        </w:rPr>
        <w:t>judgment,</w:t>
      </w:r>
      <w:r w:rsidRPr="00CC4839">
        <w:rPr>
          <w:rFonts w:ascii="Arial" w:hAnsi="Arial" w:cs="Arial"/>
          <w:iCs/>
          <w:lang w:val="de-DE"/>
        </w:rPr>
        <w:t xml:space="preserve"> 6 April 1955</w:t>
      </w:r>
      <w:r w:rsidRPr="00CC4839">
        <w:rPr>
          <w:rFonts w:ascii="Arial" w:hAnsi="Arial" w:cs="Arial"/>
          <w:lang w:val="de-DE"/>
        </w:rPr>
        <w:t>, ICJ Reports 1955, p. 4</w:t>
      </w:r>
    </w:p>
    <w:p w14:paraId="3633FEBB" w14:textId="77777777" w:rsidR="00332A0E" w:rsidRPr="00CE4D1C" w:rsidRDefault="00332A0E" w:rsidP="00332A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iCs/>
          <w:lang w:val="en-CA"/>
        </w:rPr>
      </w:pPr>
      <w:r w:rsidRPr="00CE4D1C">
        <w:rPr>
          <w:rFonts w:ascii="Arial" w:hAnsi="Arial" w:cs="Arial"/>
          <w:lang w:val="en-CA"/>
        </w:rPr>
        <w:t>Reference re Secession of Quebec, [1998] 2 S.C.R. 217</w:t>
      </w:r>
      <w:r>
        <w:rPr>
          <w:rFonts w:ascii="Arial" w:hAnsi="Arial" w:cs="Arial"/>
          <w:lang w:val="en-CA"/>
        </w:rPr>
        <w:t xml:space="preserve"> (read paras 109-146 only)</w:t>
      </w:r>
    </w:p>
    <w:p w14:paraId="03C0216E" w14:textId="77777777" w:rsidR="00332A0E" w:rsidRPr="00E026BC" w:rsidRDefault="00332A0E" w:rsidP="00332A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iCs/>
          <w:lang w:val="en-CA"/>
        </w:rPr>
      </w:pPr>
      <w:r w:rsidRPr="00F71100">
        <w:rPr>
          <w:rFonts w:ascii="Arial" w:hAnsi="Arial" w:cs="Arial"/>
          <w:bCs/>
          <w:lang w:val="en-CA"/>
        </w:rPr>
        <w:t>Legal Consequences of the Construction of a Wall in the Occupied Palestinian Territory</w:t>
      </w:r>
      <w:r w:rsidRPr="00F71100">
        <w:rPr>
          <w:rFonts w:ascii="Arial" w:hAnsi="Arial" w:cs="Arial"/>
          <w:iCs/>
          <w:lang w:val="en-CA"/>
        </w:rPr>
        <w:t xml:space="preserve">, advisory opinion, 9 July 2004; ICJ Reports 2004, </w:t>
      </w:r>
      <w:r w:rsidRPr="00F71100">
        <w:rPr>
          <w:rFonts w:ascii="Arial" w:hAnsi="Arial" w:cs="Arial"/>
          <w:bCs/>
          <w:lang w:val="en-CA"/>
        </w:rPr>
        <w:t>p.</w:t>
      </w:r>
      <w:r w:rsidRPr="00F71100">
        <w:rPr>
          <w:rFonts w:ascii="Arial" w:hAnsi="Arial" w:cs="Arial"/>
          <w:b/>
          <w:bCs/>
          <w:lang w:val="en-CA"/>
        </w:rPr>
        <w:t xml:space="preserve"> </w:t>
      </w:r>
      <w:r w:rsidRPr="00F71100">
        <w:rPr>
          <w:rFonts w:ascii="Arial" w:hAnsi="Arial" w:cs="Arial"/>
          <w:iCs/>
          <w:lang w:val="en-CA"/>
        </w:rPr>
        <w:t>136 (pages 4-6</w:t>
      </w:r>
      <w:r w:rsidRPr="002530B6">
        <w:rPr>
          <w:rFonts w:ascii="Arial" w:hAnsi="Arial" w:cs="Arial"/>
          <w:iCs/>
          <w:lang w:val="en-CA"/>
        </w:rPr>
        <w:t xml:space="preserve"> </w:t>
      </w:r>
      <w:r>
        <w:rPr>
          <w:rFonts w:ascii="Arial" w:hAnsi="Arial" w:cs="Arial"/>
          <w:iCs/>
          <w:lang w:val="en-CA"/>
        </w:rPr>
        <w:t xml:space="preserve">and </w:t>
      </w:r>
      <w:r w:rsidRPr="002530B6">
        <w:rPr>
          <w:rFonts w:ascii="Arial" w:hAnsi="Arial" w:cs="Arial"/>
          <w:iCs/>
          <w:lang w:val="en-CA"/>
        </w:rPr>
        <w:t>para</w:t>
      </w:r>
      <w:r>
        <w:rPr>
          <w:rFonts w:ascii="Arial" w:hAnsi="Arial" w:cs="Arial"/>
          <w:iCs/>
          <w:lang w:val="en-CA"/>
        </w:rPr>
        <w:t>s</w:t>
      </w:r>
      <w:r w:rsidRPr="002530B6">
        <w:rPr>
          <w:rFonts w:ascii="Arial" w:hAnsi="Arial" w:cs="Arial"/>
          <w:iCs/>
          <w:lang w:val="en-CA"/>
        </w:rPr>
        <w:t>. 66,</w:t>
      </w:r>
      <w:r>
        <w:rPr>
          <w:rFonts w:ascii="Arial" w:hAnsi="Arial" w:cs="Arial"/>
          <w:iCs/>
          <w:lang w:val="en-CA"/>
        </w:rPr>
        <w:t xml:space="preserve"> 67, 114-137</w:t>
      </w:r>
      <w:r w:rsidRPr="002530B6">
        <w:rPr>
          <w:rFonts w:ascii="Arial" w:hAnsi="Arial" w:cs="Arial"/>
          <w:iCs/>
          <w:lang w:val="en-CA"/>
        </w:rPr>
        <w:t>)</w:t>
      </w:r>
      <w:r w:rsidRPr="002530B6">
        <w:rPr>
          <w:rFonts w:ascii="Arial" w:hAnsi="Arial" w:cs="Arial"/>
          <w:lang w:val="en-CA"/>
        </w:rPr>
        <w:t xml:space="preserve"> </w:t>
      </w:r>
    </w:p>
    <w:p w14:paraId="7CCF3619" w14:textId="77777777" w:rsidR="00332A0E" w:rsidRPr="00187F34" w:rsidRDefault="00332A0E" w:rsidP="00332A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>Entries from the Max-Planck Encyclopaedia: Peoples (</w:t>
      </w:r>
      <w:proofErr w:type="spellStart"/>
      <w:r>
        <w:rPr>
          <w:rFonts w:ascii="Arial" w:hAnsi="Arial" w:cs="Arial"/>
          <w:lang w:val="en-CA"/>
        </w:rPr>
        <w:t>Gudmundur</w:t>
      </w:r>
      <w:proofErr w:type="spellEnd"/>
      <w:r>
        <w:rPr>
          <w:rFonts w:ascii="Arial" w:hAnsi="Arial" w:cs="Arial"/>
          <w:lang w:val="en-CA"/>
        </w:rPr>
        <w:t xml:space="preserve"> Alfredsson), Individuals in International Law (Simone Gorski)</w:t>
      </w:r>
    </w:p>
    <w:p w14:paraId="345B65AD" w14:textId="77777777" w:rsidR="00332A0E" w:rsidRDefault="00332A0E" w:rsidP="00332A0E">
      <w:pPr>
        <w:autoSpaceDE w:val="0"/>
        <w:autoSpaceDN w:val="0"/>
        <w:adjustRightInd w:val="0"/>
        <w:ind w:left="360"/>
        <w:rPr>
          <w:rFonts w:ascii="Arial" w:hAnsi="Arial" w:cs="Arial"/>
          <w:lang w:val="en-CA"/>
        </w:rPr>
      </w:pPr>
    </w:p>
    <w:p w14:paraId="31587CC8" w14:textId="77777777" w:rsidR="00332A0E" w:rsidRPr="00187F34" w:rsidRDefault="00332A0E" w:rsidP="00332A0E">
      <w:pPr>
        <w:autoSpaceDE w:val="0"/>
        <w:autoSpaceDN w:val="0"/>
        <w:adjustRightInd w:val="0"/>
        <w:ind w:left="360"/>
        <w:rPr>
          <w:rFonts w:ascii="Arial" w:hAnsi="Arial" w:cs="Arial"/>
          <w:iCs/>
          <w:u w:val="single"/>
          <w:lang w:val="en-CA"/>
        </w:rPr>
      </w:pPr>
      <w:r w:rsidRPr="00187F34">
        <w:rPr>
          <w:rFonts w:ascii="Arial" w:hAnsi="Arial" w:cs="Arial"/>
          <w:u w:val="single"/>
          <w:lang w:val="en-CA"/>
        </w:rPr>
        <w:t>Additional Readings:</w:t>
      </w:r>
    </w:p>
    <w:p w14:paraId="2AB7E3D1" w14:textId="77777777" w:rsidR="00332A0E" w:rsidRPr="002530B6" w:rsidRDefault="00332A0E" w:rsidP="00332A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iCs/>
          <w:lang w:val="en-CA"/>
        </w:rPr>
      </w:pPr>
      <w:r w:rsidRPr="00975B65">
        <w:rPr>
          <w:rFonts w:ascii="Arial" w:hAnsi="Arial" w:cs="Arial"/>
          <w:bCs/>
          <w:lang w:val="en-CA"/>
        </w:rPr>
        <w:t xml:space="preserve">Cindy G. Buys, </w:t>
      </w:r>
      <w:r>
        <w:rPr>
          <w:rFonts w:ascii="Arial" w:hAnsi="Arial" w:cs="Arial"/>
          <w:bCs/>
          <w:lang w:val="en-CA"/>
        </w:rPr>
        <w:t>“</w:t>
      </w:r>
      <w:proofErr w:type="spellStart"/>
      <w:r w:rsidRPr="000F7C81">
        <w:rPr>
          <w:rFonts w:ascii="Arial" w:hAnsi="Arial" w:cs="Arial"/>
          <w:bCs/>
          <w:iCs/>
          <w:lang w:val="en-CA"/>
        </w:rPr>
        <w:t>Nottebohm’s</w:t>
      </w:r>
      <w:proofErr w:type="spellEnd"/>
      <w:r w:rsidRPr="000F7C81">
        <w:rPr>
          <w:rFonts w:ascii="Arial" w:hAnsi="Arial" w:cs="Arial"/>
          <w:bCs/>
          <w:iCs/>
          <w:lang w:val="en-CA"/>
        </w:rPr>
        <w:t xml:space="preserve"> Nightmare: Have We Exorcised the Ghosts of WWII Detention Programs or Do They Still Haunt Guantanamo?</w:t>
      </w:r>
      <w:r>
        <w:rPr>
          <w:rFonts w:ascii="Arial" w:hAnsi="Arial" w:cs="Arial"/>
          <w:bCs/>
          <w:iCs/>
          <w:lang w:val="en-CA"/>
        </w:rPr>
        <w:t>”</w:t>
      </w:r>
      <w:r>
        <w:rPr>
          <w:rFonts w:ascii="Arial" w:hAnsi="Arial" w:cs="Arial"/>
          <w:lang w:val="en-CA"/>
        </w:rPr>
        <w:t xml:space="preserve">, 2011 </w:t>
      </w:r>
      <w:r w:rsidRPr="00975B65">
        <w:rPr>
          <w:rFonts w:ascii="Arial" w:hAnsi="Arial" w:cs="Arial"/>
          <w:i/>
          <w:lang w:val="en-CA"/>
        </w:rPr>
        <w:t>Chicago Kent Journal of International and Comparative Law</w:t>
      </w:r>
      <w:r>
        <w:rPr>
          <w:rFonts w:ascii="Arial" w:hAnsi="Arial" w:cs="Arial"/>
          <w:lang w:val="en-CA"/>
        </w:rPr>
        <w:t xml:space="preserve">, available at </w:t>
      </w:r>
      <w:r w:rsidRPr="00455647">
        <w:t>http://studentorgs.kentlaw.iit.edu/jicl/journal/volume-11/</w:t>
      </w:r>
    </w:p>
    <w:p w14:paraId="6BAB96A0" w14:textId="77777777" w:rsidR="00332A0E" w:rsidRPr="002530B6" w:rsidRDefault="00332A0E" w:rsidP="00332A0E">
      <w:pPr>
        <w:jc w:val="both"/>
        <w:rPr>
          <w:rFonts w:ascii="Arial" w:hAnsi="Arial" w:cs="Arial"/>
          <w:lang w:val="en-CA"/>
        </w:rPr>
      </w:pPr>
    </w:p>
    <w:p w14:paraId="30BE5FD4" w14:textId="5F21A2DB" w:rsidR="00332A0E" w:rsidRPr="002530B6" w:rsidRDefault="00332A0E" w:rsidP="00332A0E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WEEK 9 (</w:t>
      </w:r>
      <w:r w:rsidR="000A52A4">
        <w:rPr>
          <w:rFonts w:ascii="Arial" w:hAnsi="Arial" w:cs="Arial"/>
          <w:b/>
          <w:lang w:val="en-CA"/>
        </w:rPr>
        <w:t>Tuesday, 12</w:t>
      </w:r>
      <w:r>
        <w:rPr>
          <w:rFonts w:ascii="Arial" w:hAnsi="Arial" w:cs="Arial"/>
          <w:b/>
          <w:lang w:val="en-CA"/>
        </w:rPr>
        <w:t xml:space="preserve"> November 2019</w:t>
      </w:r>
      <w:r w:rsidR="000A52A4">
        <w:rPr>
          <w:rFonts w:ascii="Arial" w:hAnsi="Arial" w:cs="Arial"/>
          <w:b/>
          <w:lang w:val="en-CA"/>
        </w:rPr>
        <w:t xml:space="preserve"> </w:t>
      </w:r>
      <w:r w:rsidR="00F17A3B">
        <w:rPr>
          <w:rFonts w:ascii="Arial" w:hAnsi="Arial" w:cs="Arial"/>
          <w:b/>
          <w:lang w:val="en-CA"/>
        </w:rPr>
        <w:t>2</w:t>
      </w:r>
      <w:r w:rsidR="000A52A4">
        <w:rPr>
          <w:rFonts w:ascii="Arial" w:hAnsi="Arial" w:cs="Arial"/>
          <w:b/>
          <w:lang w:val="en-CA"/>
        </w:rPr>
        <w:t>-</w:t>
      </w:r>
      <w:r w:rsidR="00F17A3B">
        <w:rPr>
          <w:rFonts w:ascii="Arial" w:hAnsi="Arial" w:cs="Arial"/>
          <w:b/>
          <w:lang w:val="en-CA"/>
        </w:rPr>
        <w:t>5</w:t>
      </w:r>
      <w:bookmarkStart w:id="0" w:name="_GoBack"/>
      <w:bookmarkEnd w:id="0"/>
      <w:r w:rsidR="000A52A4">
        <w:rPr>
          <w:rFonts w:ascii="Arial" w:hAnsi="Arial" w:cs="Arial"/>
          <w:b/>
          <w:lang w:val="en-CA"/>
        </w:rPr>
        <w:t>pm</w:t>
      </w:r>
      <w:r>
        <w:rPr>
          <w:rFonts w:ascii="Arial" w:hAnsi="Arial" w:cs="Arial"/>
          <w:b/>
          <w:lang w:val="en-CA"/>
        </w:rPr>
        <w:t>)</w:t>
      </w:r>
      <w:r w:rsidR="007B6F4C">
        <w:rPr>
          <w:rFonts w:ascii="Arial" w:hAnsi="Arial" w:cs="Arial"/>
          <w:b/>
          <w:lang w:val="en-CA"/>
        </w:rPr>
        <w:t xml:space="preserve"> No class on 14 November!</w:t>
      </w:r>
    </w:p>
    <w:p w14:paraId="126F0A7B" w14:textId="77777777" w:rsidR="00332A0E" w:rsidRDefault="00332A0E" w:rsidP="00332A0E">
      <w:pPr>
        <w:rPr>
          <w:rFonts w:ascii="Arial" w:hAnsi="Arial" w:cs="Arial"/>
          <w:smallCaps/>
          <w:lang w:val="en-CA"/>
        </w:rPr>
      </w:pPr>
    </w:p>
    <w:p w14:paraId="48F1C894" w14:textId="77777777" w:rsidR="00332A0E" w:rsidRPr="00CE4D1C" w:rsidRDefault="00332A0E" w:rsidP="00332A0E">
      <w:pPr>
        <w:rPr>
          <w:rFonts w:ascii="Arial" w:hAnsi="Arial" w:cs="Arial"/>
          <w:smallCaps/>
          <w:lang w:val="en-CA"/>
        </w:rPr>
      </w:pPr>
      <w:r w:rsidRPr="00CE4D1C">
        <w:rPr>
          <w:rFonts w:ascii="Arial" w:hAnsi="Arial" w:cs="Arial"/>
          <w:smallCaps/>
          <w:lang w:val="en-CA"/>
        </w:rPr>
        <w:t>Implementation of Public International Law</w:t>
      </w:r>
    </w:p>
    <w:p w14:paraId="7EA8C2EF" w14:textId="77777777" w:rsidR="00332A0E" w:rsidRPr="00CE4D1C" w:rsidRDefault="00332A0E" w:rsidP="00332A0E">
      <w:pPr>
        <w:jc w:val="both"/>
        <w:rPr>
          <w:rFonts w:ascii="Arial" w:hAnsi="Arial" w:cs="Arial"/>
          <w:lang w:val="en-CA"/>
        </w:rPr>
      </w:pPr>
    </w:p>
    <w:p w14:paraId="2B4B3D9E" w14:textId="77777777" w:rsidR="00332A0E" w:rsidRPr="00CE4D1C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CE4D1C">
        <w:rPr>
          <w:rFonts w:ascii="Arial" w:hAnsi="Arial" w:cs="Arial"/>
          <w:b/>
          <w:lang w:val="en-CA"/>
        </w:rPr>
        <w:t xml:space="preserve">1. Relationship between national and international law </w:t>
      </w:r>
    </w:p>
    <w:p w14:paraId="0087945E" w14:textId="77777777" w:rsidR="00332A0E" w:rsidRPr="00CE4D1C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a) </w:t>
      </w:r>
      <w:r w:rsidRPr="00CE4D1C">
        <w:rPr>
          <w:rFonts w:ascii="Arial" w:hAnsi="Arial" w:cs="Arial"/>
          <w:lang w:val="en-CA"/>
        </w:rPr>
        <w:t xml:space="preserve">General theories: </w:t>
      </w:r>
    </w:p>
    <w:p w14:paraId="6C5395F0" w14:textId="77777777" w:rsidR="00332A0E" w:rsidRPr="00CE4D1C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CE4D1C">
        <w:rPr>
          <w:rFonts w:ascii="Arial" w:hAnsi="Arial" w:cs="Arial"/>
          <w:lang w:val="en-CA"/>
        </w:rPr>
        <w:t xml:space="preserve">monism and dualism - subordination </w:t>
      </w:r>
      <w:r>
        <w:rPr>
          <w:rFonts w:ascii="Arial" w:hAnsi="Arial" w:cs="Arial"/>
          <w:lang w:val="en-CA"/>
        </w:rPr>
        <w:t>and</w:t>
      </w:r>
      <w:r w:rsidRPr="00CE4D1C">
        <w:rPr>
          <w:rFonts w:ascii="Arial" w:hAnsi="Arial" w:cs="Arial"/>
          <w:lang w:val="en-CA"/>
        </w:rPr>
        <w:t xml:space="preserve"> coordination</w:t>
      </w:r>
    </w:p>
    <w:p w14:paraId="5DAC1671" w14:textId="77777777" w:rsidR="00332A0E" w:rsidRPr="00CE4D1C" w:rsidRDefault="00332A0E" w:rsidP="00332A0E">
      <w:pPr>
        <w:ind w:left="900"/>
        <w:jc w:val="both"/>
        <w:rPr>
          <w:rFonts w:ascii="Arial" w:hAnsi="Arial" w:cs="Arial"/>
          <w:lang w:val="en-CA"/>
        </w:rPr>
      </w:pPr>
      <w:r w:rsidRPr="00CE4D1C">
        <w:rPr>
          <w:rFonts w:ascii="Arial" w:hAnsi="Arial" w:cs="Arial"/>
          <w:lang w:val="en-CA"/>
        </w:rPr>
        <w:t xml:space="preserve">b) </w:t>
      </w:r>
      <w:r>
        <w:rPr>
          <w:rFonts w:ascii="Arial" w:hAnsi="Arial" w:cs="Arial"/>
          <w:lang w:val="en-CA"/>
        </w:rPr>
        <w:t>Exa</w:t>
      </w:r>
      <w:r w:rsidRPr="00CE4D1C">
        <w:rPr>
          <w:rFonts w:ascii="Arial" w:hAnsi="Arial" w:cs="Arial"/>
          <w:lang w:val="en-CA"/>
        </w:rPr>
        <w:t xml:space="preserve">mples of application </w:t>
      </w:r>
    </w:p>
    <w:p w14:paraId="2DE5D4FA" w14:textId="77777777" w:rsidR="00332A0E" w:rsidRPr="00CE4D1C" w:rsidRDefault="00332A0E" w:rsidP="00332A0E">
      <w:pPr>
        <w:ind w:left="1260"/>
        <w:jc w:val="both"/>
        <w:rPr>
          <w:rFonts w:ascii="Arial" w:hAnsi="Arial" w:cs="Arial"/>
          <w:lang w:val="en-CA"/>
        </w:rPr>
      </w:pPr>
      <w:proofErr w:type="spellStart"/>
      <w:r w:rsidRPr="00CE4D1C">
        <w:rPr>
          <w:rFonts w:ascii="Arial" w:hAnsi="Arial" w:cs="Arial"/>
          <w:lang w:val="en-CA"/>
        </w:rPr>
        <w:t>i</w:t>
      </w:r>
      <w:proofErr w:type="spellEnd"/>
      <w:r w:rsidRPr="00CE4D1C">
        <w:rPr>
          <w:rFonts w:ascii="Arial" w:hAnsi="Arial" w:cs="Arial"/>
          <w:lang w:val="en-CA"/>
        </w:rPr>
        <w:t>) International treaties</w:t>
      </w:r>
    </w:p>
    <w:p w14:paraId="6528522F" w14:textId="77777777" w:rsidR="00332A0E" w:rsidRPr="00CE4D1C" w:rsidRDefault="00332A0E" w:rsidP="00332A0E">
      <w:pPr>
        <w:ind w:left="1260"/>
        <w:jc w:val="both"/>
        <w:rPr>
          <w:rFonts w:ascii="Arial" w:hAnsi="Arial" w:cs="Arial"/>
          <w:lang w:val="en-CA"/>
        </w:rPr>
      </w:pPr>
      <w:r w:rsidRPr="00CE4D1C">
        <w:rPr>
          <w:rFonts w:ascii="Arial" w:hAnsi="Arial" w:cs="Arial"/>
          <w:lang w:val="en-CA"/>
        </w:rPr>
        <w:t xml:space="preserve">ii) Customary law and </w:t>
      </w:r>
      <w:r w:rsidRPr="004B13E3">
        <w:rPr>
          <w:rFonts w:ascii="Arial" w:hAnsi="Arial" w:cs="Arial"/>
          <w:i/>
          <w:lang w:val="en-CA"/>
        </w:rPr>
        <w:t>jus cogens</w:t>
      </w:r>
    </w:p>
    <w:p w14:paraId="56E5CD55" w14:textId="77777777" w:rsidR="00332A0E" w:rsidRDefault="00332A0E" w:rsidP="00332A0E">
      <w:pPr>
        <w:jc w:val="both"/>
        <w:rPr>
          <w:rFonts w:ascii="Arial" w:hAnsi="Arial" w:cs="Arial"/>
          <w:u w:val="single"/>
          <w:lang w:val="en-CA"/>
        </w:rPr>
      </w:pPr>
    </w:p>
    <w:p w14:paraId="4903242C" w14:textId="77777777" w:rsidR="00332A0E" w:rsidRPr="00F84E20" w:rsidRDefault="00332A0E" w:rsidP="00332A0E">
      <w:pPr>
        <w:jc w:val="both"/>
        <w:rPr>
          <w:rFonts w:ascii="Arial" w:hAnsi="Arial" w:cs="Arial"/>
          <w:u w:val="single"/>
          <w:lang w:val="en-CA"/>
        </w:rPr>
      </w:pPr>
      <w:r w:rsidRPr="00F84E20">
        <w:rPr>
          <w:rFonts w:ascii="Arial" w:hAnsi="Arial" w:cs="Arial"/>
          <w:u w:val="single"/>
          <w:lang w:val="en-CA"/>
        </w:rPr>
        <w:t>Readings:</w:t>
      </w:r>
    </w:p>
    <w:p w14:paraId="188F9436" w14:textId="77777777" w:rsidR="00332A0E" w:rsidRDefault="00332A0E" w:rsidP="00332A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Brunno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Simma</w:t>
      </w:r>
      <w:proofErr w:type="spellEnd"/>
      <w:r>
        <w:rPr>
          <w:rFonts w:ascii="Arial" w:hAnsi="Arial" w:cs="Arial"/>
          <w:lang w:val="en-CA"/>
        </w:rPr>
        <w:t xml:space="preserve">, “Contribution of Alfred </w:t>
      </w:r>
      <w:proofErr w:type="spellStart"/>
      <w:r>
        <w:rPr>
          <w:rFonts w:ascii="Arial" w:hAnsi="Arial" w:cs="Arial"/>
          <w:lang w:val="en-CA"/>
        </w:rPr>
        <w:t>Verdross</w:t>
      </w:r>
      <w:proofErr w:type="spellEnd"/>
      <w:r>
        <w:rPr>
          <w:rFonts w:ascii="Arial" w:hAnsi="Arial" w:cs="Arial"/>
          <w:lang w:val="en-CA"/>
        </w:rPr>
        <w:t xml:space="preserve"> to the theory of international law” 6 </w:t>
      </w:r>
      <w:r w:rsidRPr="00A85476">
        <w:rPr>
          <w:rFonts w:ascii="Arial" w:hAnsi="Arial" w:cs="Arial"/>
          <w:i/>
          <w:lang w:val="en-CA"/>
        </w:rPr>
        <w:t>European Journal of International Law</w:t>
      </w:r>
      <w:r>
        <w:rPr>
          <w:rFonts w:ascii="Arial" w:hAnsi="Arial" w:cs="Arial"/>
          <w:lang w:val="en-CA"/>
        </w:rPr>
        <w:t xml:space="preserve"> (1995) p. 33-54, available at </w:t>
      </w:r>
      <w:hyperlink r:id="rId13" w:history="1">
        <w:r w:rsidRPr="006D05C1">
          <w:rPr>
            <w:rStyle w:val="Hyperlink"/>
            <w:rFonts w:ascii="Arial" w:hAnsi="Arial" w:cs="Arial"/>
            <w:lang w:val="en-CA"/>
          </w:rPr>
          <w:t>http://ejil.org/pdfs/6/1/1300.pdf</w:t>
        </w:r>
      </w:hyperlink>
      <w:r>
        <w:rPr>
          <w:rFonts w:ascii="Arial" w:hAnsi="Arial" w:cs="Arial"/>
          <w:lang w:val="en-CA"/>
        </w:rPr>
        <w:t xml:space="preserve"> . Read pp. 38-47 in particular.</w:t>
      </w:r>
    </w:p>
    <w:p w14:paraId="5735A87E" w14:textId="77777777" w:rsidR="00332A0E" w:rsidRPr="00E026BC" w:rsidRDefault="00332A0E" w:rsidP="00332A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>Andrew D. Mitchell, “</w:t>
      </w:r>
      <w:r w:rsidRPr="001552FD">
        <w:rPr>
          <w:rFonts w:ascii="Arial" w:hAnsi="Arial" w:cs="Arial"/>
          <w:bCs/>
          <w:color w:val="000000"/>
          <w:lang w:val="en-CA"/>
        </w:rPr>
        <w:t xml:space="preserve">Genocide, Human Rights Implementation and the Relationship between International and Domestic Law: </w:t>
      </w:r>
      <w:proofErr w:type="spellStart"/>
      <w:r w:rsidRPr="001552FD">
        <w:rPr>
          <w:rFonts w:ascii="Arial" w:hAnsi="Arial" w:cs="Arial"/>
          <w:bCs/>
          <w:color w:val="000000"/>
          <w:lang w:val="en-CA"/>
        </w:rPr>
        <w:t>Nulyarimma</w:t>
      </w:r>
      <w:proofErr w:type="spellEnd"/>
      <w:r w:rsidRPr="001552FD">
        <w:rPr>
          <w:rFonts w:ascii="Arial" w:hAnsi="Arial" w:cs="Arial"/>
          <w:bCs/>
          <w:color w:val="000000"/>
          <w:lang w:val="en-CA"/>
        </w:rPr>
        <w:t xml:space="preserve"> v. Thompson</w:t>
      </w:r>
      <w:r>
        <w:rPr>
          <w:rFonts w:ascii="Arial" w:hAnsi="Arial" w:cs="Arial"/>
          <w:bCs/>
          <w:color w:val="000000"/>
          <w:lang w:val="en-CA"/>
        </w:rPr>
        <w:t xml:space="preserve">” </w:t>
      </w:r>
      <w:r w:rsidRPr="001552FD">
        <w:rPr>
          <w:rFonts w:ascii="Arial" w:hAnsi="Arial" w:cs="Arial"/>
          <w:bCs/>
          <w:color w:val="000000"/>
          <w:lang w:val="en-CA"/>
        </w:rPr>
        <w:t xml:space="preserve">24 </w:t>
      </w:r>
      <w:proofErr w:type="spellStart"/>
      <w:r w:rsidRPr="001552FD">
        <w:rPr>
          <w:rFonts w:ascii="Arial" w:hAnsi="Arial" w:cs="Arial"/>
          <w:bCs/>
          <w:i/>
          <w:color w:val="000000"/>
          <w:lang w:val="en-CA"/>
        </w:rPr>
        <w:t>Melb</w:t>
      </w:r>
      <w:proofErr w:type="spellEnd"/>
      <w:r w:rsidRPr="001552FD">
        <w:rPr>
          <w:rFonts w:ascii="Arial" w:hAnsi="Arial" w:cs="Arial"/>
          <w:bCs/>
          <w:i/>
          <w:color w:val="000000"/>
          <w:lang w:val="en-CA"/>
        </w:rPr>
        <w:t>. U. L. Rev</w:t>
      </w:r>
      <w:r>
        <w:rPr>
          <w:rFonts w:ascii="Arial" w:hAnsi="Arial" w:cs="Arial"/>
          <w:bCs/>
          <w:color w:val="000000"/>
          <w:lang w:val="en-CA"/>
        </w:rPr>
        <w:t xml:space="preserve">. </w:t>
      </w:r>
      <w:r w:rsidRPr="001552FD">
        <w:rPr>
          <w:rFonts w:ascii="Arial" w:hAnsi="Arial" w:cs="Arial"/>
          <w:bCs/>
          <w:color w:val="000000"/>
          <w:lang w:val="en-CA"/>
        </w:rPr>
        <w:t>(2000)</w:t>
      </w:r>
      <w:r>
        <w:rPr>
          <w:rFonts w:ascii="Arial" w:hAnsi="Arial" w:cs="Arial"/>
          <w:bCs/>
          <w:color w:val="000000"/>
          <w:lang w:val="en-CA"/>
        </w:rPr>
        <w:t xml:space="preserve">, p. 15-49, available at </w:t>
      </w:r>
      <w:hyperlink r:id="rId14" w:history="1">
        <w:r w:rsidRPr="006D05C1">
          <w:rPr>
            <w:rStyle w:val="Hyperlink"/>
            <w:rFonts w:ascii="Arial" w:hAnsi="Arial" w:cs="Arial"/>
            <w:bCs/>
            <w:lang w:val="en-CA"/>
          </w:rPr>
          <w:t>http://papers.ssrn.com/sol3/papers.cfm?abstract_id=1083000</w:t>
        </w:r>
      </w:hyperlink>
      <w:r>
        <w:rPr>
          <w:rFonts w:ascii="Arial" w:hAnsi="Arial" w:cs="Arial"/>
          <w:bCs/>
          <w:color w:val="000000"/>
          <w:lang w:val="en-CA"/>
        </w:rPr>
        <w:t xml:space="preserve"> </w:t>
      </w:r>
    </w:p>
    <w:p w14:paraId="408DD18D" w14:textId="77777777" w:rsidR="00332A0E" w:rsidRPr="00A85476" w:rsidRDefault="00332A0E" w:rsidP="00332A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bCs/>
          <w:color w:val="000000"/>
          <w:lang w:val="en-CA"/>
        </w:rPr>
        <w:t xml:space="preserve">Entry from the Max-Planck Encyclopaedia: International Law and Domestic (Municipal) Law (Joerg </w:t>
      </w:r>
      <w:proofErr w:type="spellStart"/>
      <w:r>
        <w:rPr>
          <w:rFonts w:ascii="Arial" w:hAnsi="Arial" w:cs="Arial"/>
          <w:bCs/>
          <w:color w:val="000000"/>
          <w:lang w:val="en-CA"/>
        </w:rPr>
        <w:t>Polakiewicz</w:t>
      </w:r>
      <w:proofErr w:type="spellEnd"/>
      <w:r>
        <w:rPr>
          <w:rFonts w:ascii="Arial" w:hAnsi="Arial" w:cs="Arial"/>
          <w:bCs/>
          <w:color w:val="000000"/>
          <w:lang w:val="en-CA"/>
        </w:rPr>
        <w:t>)</w:t>
      </w:r>
    </w:p>
    <w:p w14:paraId="1BACD7A8" w14:textId="77777777" w:rsidR="00332A0E" w:rsidRPr="00A85476" w:rsidRDefault="00332A0E" w:rsidP="00332A0E">
      <w:pPr>
        <w:autoSpaceDE w:val="0"/>
        <w:autoSpaceDN w:val="0"/>
        <w:adjustRightInd w:val="0"/>
        <w:ind w:left="360"/>
        <w:rPr>
          <w:rFonts w:ascii="Arial" w:hAnsi="Arial" w:cs="Arial"/>
          <w:lang w:val="en-CA"/>
        </w:rPr>
      </w:pPr>
    </w:p>
    <w:p w14:paraId="50D9FBCE" w14:textId="77777777" w:rsidR="00332A0E" w:rsidRPr="00F84E20" w:rsidRDefault="00332A0E" w:rsidP="00332A0E">
      <w:pPr>
        <w:jc w:val="both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Additional r</w:t>
      </w:r>
      <w:r w:rsidRPr="00F84E20">
        <w:rPr>
          <w:rFonts w:ascii="Arial" w:hAnsi="Arial" w:cs="Arial"/>
          <w:u w:val="single"/>
          <w:lang w:val="en-CA"/>
        </w:rPr>
        <w:t>eadings:</w:t>
      </w:r>
    </w:p>
    <w:p w14:paraId="559DFB61" w14:textId="77777777" w:rsidR="00332A0E" w:rsidRPr="00F84E20" w:rsidRDefault="00332A0E" w:rsidP="00332A0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Eileen </w:t>
      </w:r>
      <w:proofErr w:type="spellStart"/>
      <w:r>
        <w:rPr>
          <w:rFonts w:ascii="Arial" w:hAnsi="Arial" w:cs="Arial"/>
          <w:lang w:val="en-CA"/>
        </w:rPr>
        <w:t>Denza</w:t>
      </w:r>
      <w:proofErr w:type="spellEnd"/>
      <w:r>
        <w:rPr>
          <w:rFonts w:ascii="Arial" w:hAnsi="Arial" w:cs="Arial"/>
          <w:lang w:val="en-CA"/>
        </w:rPr>
        <w:t>,</w:t>
      </w:r>
      <w:r w:rsidRPr="00F84E20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“</w:t>
      </w:r>
      <w:r w:rsidRPr="00F84E20">
        <w:rPr>
          <w:rFonts w:ascii="Arial" w:hAnsi="Arial" w:cs="Arial"/>
          <w:lang w:val="en-CA"/>
        </w:rPr>
        <w:t>The relationship between international and national law</w:t>
      </w:r>
      <w:r>
        <w:rPr>
          <w:rFonts w:ascii="Arial" w:hAnsi="Arial" w:cs="Arial"/>
          <w:lang w:val="en-CA"/>
        </w:rPr>
        <w:t xml:space="preserve">” in </w:t>
      </w:r>
      <w:r w:rsidRPr="00934CA3">
        <w:rPr>
          <w:rFonts w:ascii="Arial" w:hAnsi="Arial" w:cs="Arial"/>
          <w:lang w:val="en-GB"/>
        </w:rPr>
        <w:t xml:space="preserve">M. 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edition).</w:t>
      </w:r>
    </w:p>
    <w:p w14:paraId="28C1A782" w14:textId="77777777" w:rsidR="00332A0E" w:rsidRPr="00A85476" w:rsidRDefault="00332A0E" w:rsidP="00332A0E">
      <w:pPr>
        <w:jc w:val="both"/>
        <w:rPr>
          <w:rFonts w:ascii="Arial" w:hAnsi="Arial" w:cs="Arial"/>
          <w:lang w:val="en-CA"/>
        </w:rPr>
      </w:pPr>
    </w:p>
    <w:p w14:paraId="2843F5F4" w14:textId="09C05E45" w:rsidR="00332A0E" w:rsidRPr="005D116C" w:rsidRDefault="00332A0E" w:rsidP="00332A0E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GB"/>
        </w:rPr>
      </w:pPr>
      <w:r w:rsidRPr="005D116C">
        <w:rPr>
          <w:rFonts w:ascii="Arial" w:hAnsi="Arial" w:cs="Arial"/>
          <w:b/>
          <w:lang w:val="en-GB"/>
        </w:rPr>
        <w:t>WEEK 10 (21 November 201</w:t>
      </w:r>
      <w:r>
        <w:rPr>
          <w:rFonts w:ascii="Arial" w:hAnsi="Arial" w:cs="Arial"/>
          <w:b/>
          <w:lang w:val="en-GB"/>
        </w:rPr>
        <w:t>9</w:t>
      </w:r>
      <w:r w:rsidRPr="005D116C">
        <w:rPr>
          <w:rFonts w:ascii="Arial" w:hAnsi="Arial" w:cs="Arial"/>
          <w:b/>
          <w:lang w:val="en-GB"/>
        </w:rPr>
        <w:t>)</w:t>
      </w:r>
    </w:p>
    <w:p w14:paraId="523F4F4E" w14:textId="77777777" w:rsidR="00332A0E" w:rsidRDefault="00332A0E" w:rsidP="00332A0E">
      <w:pPr>
        <w:jc w:val="both"/>
        <w:rPr>
          <w:rFonts w:ascii="Arial" w:hAnsi="Arial" w:cs="Arial"/>
          <w:b/>
          <w:lang w:val="fr-CH"/>
        </w:rPr>
      </w:pPr>
    </w:p>
    <w:p w14:paraId="61D24FFB" w14:textId="77777777" w:rsidR="00332A0E" w:rsidRPr="00F84E20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F84E20">
        <w:rPr>
          <w:rFonts w:ascii="Arial" w:hAnsi="Arial" w:cs="Arial"/>
          <w:b/>
          <w:lang w:val="en-CA"/>
        </w:rPr>
        <w:t>2. International responsibility</w:t>
      </w:r>
    </w:p>
    <w:p w14:paraId="5C53388F" w14:textId="77777777" w:rsidR="00332A0E" w:rsidRPr="00F84E20" w:rsidRDefault="00332A0E" w:rsidP="00332A0E">
      <w:pPr>
        <w:jc w:val="both"/>
        <w:rPr>
          <w:rFonts w:ascii="Arial" w:hAnsi="Arial" w:cs="Arial"/>
          <w:lang w:val="en-CA"/>
        </w:rPr>
      </w:pPr>
    </w:p>
    <w:p w14:paraId="7FADA0C2" w14:textId="77777777" w:rsidR="00332A0E" w:rsidRPr="00F84E20" w:rsidRDefault="00332A0E" w:rsidP="00332A0E">
      <w:pPr>
        <w:jc w:val="both"/>
        <w:rPr>
          <w:rFonts w:ascii="Arial" w:hAnsi="Arial" w:cs="Arial"/>
          <w:u w:val="single"/>
          <w:lang w:val="en-CA"/>
        </w:rPr>
      </w:pPr>
      <w:r w:rsidRPr="00F84E20">
        <w:rPr>
          <w:rFonts w:ascii="Arial" w:hAnsi="Arial" w:cs="Arial"/>
          <w:u w:val="single"/>
          <w:lang w:val="en-CA"/>
        </w:rPr>
        <w:t>Readings:</w:t>
      </w:r>
    </w:p>
    <w:p w14:paraId="07688522" w14:textId="1F91C22F" w:rsidR="00332A0E" w:rsidRPr="000A52A4" w:rsidRDefault="00332A0E" w:rsidP="000A52A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Arial" w:hAnsi="Arial" w:cs="Arial"/>
          <w:iCs/>
          <w:lang w:val="en-CA"/>
        </w:rPr>
      </w:pPr>
      <w:r w:rsidRPr="00F84E20">
        <w:rPr>
          <w:rFonts w:ascii="Arial" w:hAnsi="Arial" w:cs="Arial"/>
          <w:iCs/>
          <w:lang w:val="en-CA"/>
        </w:rPr>
        <w:t xml:space="preserve">Draft Articles on the Responsibility of States for Internationally Wrongful Acts, adopted by the UN General Assembly on 12 December 2001, available </w:t>
      </w:r>
      <w:r w:rsidR="000A52A4">
        <w:rPr>
          <w:rFonts w:ascii="Arial" w:hAnsi="Arial" w:cs="Arial"/>
          <w:iCs/>
          <w:lang w:val="en-CA"/>
        </w:rPr>
        <w:t>online</w:t>
      </w:r>
      <w:r>
        <w:rPr>
          <w:rFonts w:ascii="Arial" w:hAnsi="Arial" w:cs="Arial"/>
          <w:iCs/>
          <w:lang w:val="en-CA"/>
        </w:rPr>
        <w:t xml:space="preserve"> (</w:t>
      </w:r>
      <w:r w:rsidR="000A52A4">
        <w:rPr>
          <w:rFonts w:ascii="Arial" w:hAnsi="Arial" w:cs="Arial"/>
          <w:iCs/>
          <w:lang w:val="en-CA"/>
        </w:rPr>
        <w:t xml:space="preserve">You need the </w:t>
      </w:r>
      <w:r>
        <w:rPr>
          <w:rFonts w:ascii="Arial" w:hAnsi="Arial" w:cs="Arial"/>
          <w:iCs/>
          <w:lang w:val="en-CA"/>
        </w:rPr>
        <w:t>text without commentaries</w:t>
      </w:r>
      <w:r w:rsidR="000A52A4">
        <w:rPr>
          <w:rFonts w:ascii="Arial" w:hAnsi="Arial" w:cs="Arial"/>
          <w:iCs/>
          <w:lang w:val="en-CA"/>
        </w:rPr>
        <w:t>. A</w:t>
      </w:r>
      <w:r w:rsidRPr="000A52A4">
        <w:rPr>
          <w:rFonts w:ascii="Arial" w:hAnsi="Arial" w:cs="Arial"/>
          <w:iCs/>
          <w:lang w:val="en-CA"/>
        </w:rPr>
        <w:t xml:space="preserve"> text contain</w:t>
      </w:r>
      <w:r w:rsidR="000A52A4">
        <w:rPr>
          <w:rFonts w:ascii="Arial" w:hAnsi="Arial" w:cs="Arial"/>
          <w:iCs/>
          <w:lang w:val="en-CA"/>
        </w:rPr>
        <w:t>ing</w:t>
      </w:r>
      <w:r w:rsidRPr="000A52A4">
        <w:rPr>
          <w:rFonts w:ascii="Arial" w:hAnsi="Arial" w:cs="Arial"/>
          <w:iCs/>
          <w:lang w:val="en-CA"/>
        </w:rPr>
        <w:t xml:space="preserve"> detailed commentaries</w:t>
      </w:r>
      <w:r w:rsidR="000A52A4">
        <w:rPr>
          <w:rFonts w:ascii="Arial" w:hAnsi="Arial" w:cs="Arial"/>
          <w:iCs/>
          <w:lang w:val="en-CA"/>
        </w:rPr>
        <w:t xml:space="preserve"> also exists</w:t>
      </w:r>
      <w:r w:rsidRPr="000A52A4">
        <w:rPr>
          <w:rFonts w:ascii="Arial" w:hAnsi="Arial" w:cs="Arial"/>
          <w:iCs/>
          <w:lang w:val="en-CA"/>
        </w:rPr>
        <w:t>. You are not required to read the commentaries.)</w:t>
      </w:r>
    </w:p>
    <w:p w14:paraId="4FC81D0D" w14:textId="77777777" w:rsidR="00332A0E" w:rsidRPr="00907776" w:rsidRDefault="00332A0E" w:rsidP="00332A0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Cs/>
          <w:lang w:val="fr-CA"/>
        </w:rPr>
      </w:pPr>
      <w:proofErr w:type="spellStart"/>
      <w:r w:rsidRPr="00907776">
        <w:rPr>
          <w:rFonts w:ascii="Arial" w:hAnsi="Arial" w:cs="Arial"/>
          <w:bCs/>
          <w:lang w:val="fr-CA"/>
        </w:rPr>
        <w:t>Gabčíkovo-Nagymaros</w:t>
      </w:r>
      <w:proofErr w:type="spellEnd"/>
      <w:r w:rsidRPr="00907776">
        <w:rPr>
          <w:rFonts w:ascii="Arial" w:hAnsi="Arial" w:cs="Arial"/>
          <w:bCs/>
          <w:lang w:val="fr-CA"/>
        </w:rPr>
        <w:t xml:space="preserve"> Project </w:t>
      </w:r>
      <w:r w:rsidRPr="00CC4839">
        <w:rPr>
          <w:rFonts w:ascii="Arial" w:hAnsi="Arial" w:cs="Arial"/>
          <w:bCs/>
          <w:lang w:val="en-CA"/>
        </w:rPr>
        <w:t>(Hungary/Slovakia), judgement, 25 September</w:t>
      </w:r>
      <w:r w:rsidRPr="00907776">
        <w:rPr>
          <w:rFonts w:ascii="Arial" w:hAnsi="Arial" w:cs="Arial"/>
          <w:bCs/>
          <w:lang w:val="fr-CA"/>
        </w:rPr>
        <w:t xml:space="preserve"> 1997, ICJ Reports 1997, p. 7. Read paras. 49-58, 82-87, 148-154.</w:t>
      </w:r>
    </w:p>
    <w:p w14:paraId="4B0F624D" w14:textId="77777777" w:rsidR="00332A0E" w:rsidRPr="00E026BC" w:rsidRDefault="00332A0E" w:rsidP="00332A0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Cs/>
        </w:rPr>
      </w:pPr>
      <w:r w:rsidRPr="00907776">
        <w:rPr>
          <w:rFonts w:ascii="Arial" w:hAnsi="Arial" w:cs="Arial"/>
          <w:bCs/>
          <w:lang w:val="en-CA"/>
        </w:rPr>
        <w:t>Legal Consequences of the Construction of a Wall in the Occupied Palestinian Territory</w:t>
      </w:r>
      <w:r w:rsidRPr="00907776">
        <w:rPr>
          <w:rFonts w:ascii="Arial" w:hAnsi="Arial" w:cs="Arial"/>
          <w:iCs/>
          <w:lang w:val="en-CA"/>
        </w:rPr>
        <w:t xml:space="preserve">, advisory opinion, 9 July 2004; ICJ Reports 2004, </w:t>
      </w:r>
      <w:r w:rsidRPr="00907776">
        <w:rPr>
          <w:rFonts w:ascii="Arial" w:hAnsi="Arial" w:cs="Arial"/>
          <w:bCs/>
          <w:lang w:val="en-CA"/>
        </w:rPr>
        <w:t>p.</w:t>
      </w:r>
      <w:r w:rsidRPr="00907776">
        <w:rPr>
          <w:rFonts w:ascii="Arial" w:hAnsi="Arial" w:cs="Arial"/>
          <w:b/>
          <w:bCs/>
          <w:lang w:val="en-CA"/>
        </w:rPr>
        <w:t xml:space="preserve"> </w:t>
      </w:r>
      <w:r w:rsidRPr="00907776">
        <w:rPr>
          <w:rFonts w:ascii="Arial" w:hAnsi="Arial" w:cs="Arial"/>
          <w:iCs/>
          <w:lang w:val="en-CA"/>
        </w:rPr>
        <w:t>136 (pages 4-6</w:t>
      </w:r>
      <w:r w:rsidRPr="002530B6">
        <w:rPr>
          <w:rFonts w:ascii="Arial" w:hAnsi="Arial" w:cs="Arial"/>
          <w:iCs/>
          <w:lang w:val="en-CA"/>
        </w:rPr>
        <w:t xml:space="preserve"> </w:t>
      </w:r>
      <w:r>
        <w:rPr>
          <w:rFonts w:ascii="Arial" w:hAnsi="Arial" w:cs="Arial"/>
          <w:iCs/>
          <w:lang w:val="en-CA"/>
        </w:rPr>
        <w:t xml:space="preserve">and </w:t>
      </w:r>
      <w:r w:rsidRPr="002530B6">
        <w:rPr>
          <w:rFonts w:ascii="Arial" w:hAnsi="Arial" w:cs="Arial"/>
          <w:iCs/>
          <w:lang w:val="en-CA"/>
        </w:rPr>
        <w:t>para</w:t>
      </w:r>
      <w:r>
        <w:rPr>
          <w:rFonts w:ascii="Arial" w:hAnsi="Arial" w:cs="Arial"/>
          <w:iCs/>
          <w:lang w:val="en-CA"/>
        </w:rPr>
        <w:t>s</w:t>
      </w:r>
      <w:r w:rsidRPr="002530B6">
        <w:rPr>
          <w:rFonts w:ascii="Arial" w:hAnsi="Arial" w:cs="Arial"/>
          <w:iCs/>
          <w:lang w:val="en-CA"/>
        </w:rPr>
        <w:t xml:space="preserve">. 66, </w:t>
      </w:r>
      <w:r>
        <w:rPr>
          <w:rFonts w:ascii="Arial" w:hAnsi="Arial" w:cs="Arial"/>
          <w:iCs/>
          <w:lang w:val="en-CA"/>
        </w:rPr>
        <w:t>67, 143</w:t>
      </w:r>
      <w:r w:rsidRPr="002530B6">
        <w:rPr>
          <w:rFonts w:ascii="Arial" w:hAnsi="Arial" w:cs="Arial"/>
          <w:iCs/>
          <w:lang w:val="en-CA"/>
        </w:rPr>
        <w:t xml:space="preserve"> and seq.)</w:t>
      </w:r>
    </w:p>
    <w:p w14:paraId="283AF100" w14:textId="77777777" w:rsidR="00332A0E" w:rsidRPr="00E026BC" w:rsidRDefault="00332A0E" w:rsidP="00332A0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Cs/>
          <w:lang w:val="en-IE"/>
        </w:rPr>
      </w:pPr>
      <w:r>
        <w:rPr>
          <w:rFonts w:ascii="Arial" w:hAnsi="Arial" w:cs="Arial"/>
          <w:iCs/>
          <w:lang w:val="en-CA"/>
        </w:rPr>
        <w:t xml:space="preserve">Entry from the Max-Planck Encyclopaedia: State Responsibility (James Crawford) </w:t>
      </w:r>
    </w:p>
    <w:p w14:paraId="783C5C59" w14:textId="77777777" w:rsidR="00332A0E" w:rsidRDefault="00332A0E" w:rsidP="00332A0E">
      <w:pPr>
        <w:autoSpaceDE w:val="0"/>
        <w:autoSpaceDN w:val="0"/>
        <w:adjustRightInd w:val="0"/>
        <w:ind w:left="360"/>
        <w:rPr>
          <w:rFonts w:ascii="Arial" w:hAnsi="Arial" w:cs="Arial"/>
          <w:iCs/>
          <w:lang w:val="en-CA"/>
        </w:rPr>
      </w:pPr>
    </w:p>
    <w:p w14:paraId="3EAFA9E2" w14:textId="77777777" w:rsidR="00332A0E" w:rsidRPr="004C75AB" w:rsidRDefault="00332A0E" w:rsidP="00332A0E">
      <w:pPr>
        <w:autoSpaceDE w:val="0"/>
        <w:autoSpaceDN w:val="0"/>
        <w:adjustRightInd w:val="0"/>
        <w:ind w:left="360"/>
        <w:rPr>
          <w:rFonts w:ascii="Arial" w:hAnsi="Arial" w:cs="Arial"/>
          <w:iCs/>
          <w:u w:val="single"/>
        </w:rPr>
      </w:pPr>
      <w:r w:rsidRPr="004C75AB">
        <w:rPr>
          <w:rFonts w:ascii="Arial" w:hAnsi="Arial" w:cs="Arial"/>
          <w:iCs/>
          <w:u w:val="single"/>
          <w:lang w:val="en-CA"/>
        </w:rPr>
        <w:t>Additional readin</w:t>
      </w:r>
      <w:r>
        <w:rPr>
          <w:rFonts w:ascii="Arial" w:hAnsi="Arial" w:cs="Arial"/>
          <w:iCs/>
          <w:u w:val="single"/>
          <w:lang w:val="en-CA"/>
        </w:rPr>
        <w:t>g</w:t>
      </w:r>
      <w:r w:rsidRPr="004C75AB">
        <w:rPr>
          <w:rFonts w:ascii="Arial" w:hAnsi="Arial" w:cs="Arial"/>
          <w:iCs/>
          <w:u w:val="single"/>
          <w:lang w:val="en-CA"/>
        </w:rPr>
        <w:t>s:</w:t>
      </w:r>
    </w:p>
    <w:p w14:paraId="74151E23" w14:textId="77777777" w:rsidR="00332A0E" w:rsidRPr="004C75AB" w:rsidRDefault="00332A0E" w:rsidP="00332A0E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Cs/>
          <w:lang w:val="en-CA"/>
        </w:rPr>
      </w:pPr>
      <w:r w:rsidRPr="004C75AB">
        <w:rPr>
          <w:rFonts w:ascii="Arial" w:hAnsi="Arial" w:cs="Arial"/>
          <w:lang w:val="en-CA"/>
        </w:rPr>
        <w:t>J</w:t>
      </w:r>
      <w:r>
        <w:rPr>
          <w:rFonts w:ascii="Arial" w:hAnsi="Arial" w:cs="Arial"/>
          <w:lang w:val="en-CA"/>
        </w:rPr>
        <w:t xml:space="preserve">ames Crawford and Simon </w:t>
      </w:r>
      <w:proofErr w:type="spellStart"/>
      <w:r>
        <w:rPr>
          <w:rFonts w:ascii="Arial" w:hAnsi="Arial" w:cs="Arial"/>
          <w:lang w:val="en-CA"/>
        </w:rPr>
        <w:t>Olleson</w:t>
      </w:r>
      <w:proofErr w:type="spellEnd"/>
      <w:r>
        <w:rPr>
          <w:rFonts w:ascii="Arial" w:hAnsi="Arial" w:cs="Arial"/>
          <w:lang w:val="en-CA"/>
        </w:rPr>
        <w:t>,</w:t>
      </w:r>
      <w:r w:rsidRPr="004C75AB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“</w:t>
      </w:r>
      <w:r w:rsidRPr="004C75AB">
        <w:rPr>
          <w:rFonts w:ascii="Arial" w:hAnsi="Arial" w:cs="Arial"/>
          <w:lang w:val="en-CA"/>
        </w:rPr>
        <w:t>The nature and forms of international responsibility</w:t>
      </w:r>
      <w:r>
        <w:rPr>
          <w:rFonts w:ascii="Arial" w:hAnsi="Arial" w:cs="Arial"/>
          <w:lang w:val="en-CA"/>
        </w:rPr>
        <w:t xml:space="preserve">” in M. </w:t>
      </w:r>
      <w:r w:rsidRPr="00934CA3">
        <w:rPr>
          <w:rFonts w:ascii="Arial" w:hAnsi="Arial" w:cs="Arial"/>
          <w:lang w:val="en-GB"/>
        </w:rPr>
        <w:t xml:space="preserve">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edition).</w:t>
      </w:r>
    </w:p>
    <w:p w14:paraId="69321927" w14:textId="77777777" w:rsidR="00332A0E" w:rsidRPr="004C75AB" w:rsidRDefault="00332A0E" w:rsidP="00332A0E">
      <w:pPr>
        <w:jc w:val="both"/>
        <w:rPr>
          <w:rFonts w:ascii="Arial" w:hAnsi="Arial" w:cs="Arial"/>
          <w:lang w:val="en-CA"/>
        </w:rPr>
      </w:pPr>
    </w:p>
    <w:p w14:paraId="41FBD17F" w14:textId="357C6567" w:rsidR="00332A0E" w:rsidRPr="004C75AB" w:rsidRDefault="00332A0E" w:rsidP="00332A0E">
      <w:pPr>
        <w:pBdr>
          <w:bottom w:val="single" w:sz="4" w:space="1" w:color="auto"/>
        </w:pBdr>
        <w:jc w:val="both"/>
        <w:rPr>
          <w:rFonts w:ascii="Arial" w:hAnsi="Arial" w:cs="Arial"/>
          <w:b/>
          <w:lang w:val="en-CA"/>
        </w:rPr>
      </w:pPr>
      <w:r w:rsidRPr="004C75AB">
        <w:rPr>
          <w:rFonts w:ascii="Arial" w:hAnsi="Arial" w:cs="Arial"/>
          <w:b/>
          <w:lang w:val="en-CA"/>
        </w:rPr>
        <w:t>WEEK 11</w:t>
      </w:r>
      <w:r>
        <w:rPr>
          <w:rFonts w:ascii="Arial" w:hAnsi="Arial" w:cs="Arial"/>
          <w:b/>
          <w:lang w:val="en-CA"/>
        </w:rPr>
        <w:t xml:space="preserve"> (28 November 2019)</w:t>
      </w:r>
    </w:p>
    <w:p w14:paraId="74A0D74A" w14:textId="77777777" w:rsidR="00332A0E" w:rsidRDefault="00332A0E" w:rsidP="00332A0E">
      <w:pPr>
        <w:keepNext/>
        <w:rPr>
          <w:rFonts w:ascii="Arial" w:hAnsi="Arial" w:cs="Arial"/>
          <w:smallCaps/>
          <w:lang w:val="en-CA"/>
        </w:rPr>
      </w:pPr>
    </w:p>
    <w:p w14:paraId="59703023" w14:textId="77777777" w:rsidR="00332A0E" w:rsidRPr="00CE4D1C" w:rsidRDefault="00332A0E" w:rsidP="00332A0E">
      <w:pPr>
        <w:keepNext/>
        <w:rPr>
          <w:rFonts w:ascii="Arial" w:hAnsi="Arial" w:cs="Arial"/>
          <w:smallCaps/>
          <w:lang w:val="en-CA"/>
        </w:rPr>
      </w:pPr>
      <w:r w:rsidRPr="00CE4D1C">
        <w:rPr>
          <w:rFonts w:ascii="Arial" w:hAnsi="Arial" w:cs="Arial"/>
          <w:smallCaps/>
          <w:lang w:val="en-CA"/>
        </w:rPr>
        <w:t xml:space="preserve">Use of Force and Peaceful </w:t>
      </w:r>
      <w:r>
        <w:rPr>
          <w:rFonts w:ascii="Arial" w:hAnsi="Arial" w:cs="Arial"/>
          <w:smallCaps/>
          <w:lang w:val="en-CA"/>
        </w:rPr>
        <w:t>S</w:t>
      </w:r>
      <w:r w:rsidRPr="00CE4D1C">
        <w:rPr>
          <w:rFonts w:ascii="Arial" w:hAnsi="Arial" w:cs="Arial"/>
          <w:smallCaps/>
          <w:lang w:val="en-CA"/>
        </w:rPr>
        <w:t>ettlement of Disputes</w:t>
      </w:r>
      <w:r>
        <w:rPr>
          <w:rFonts w:ascii="Arial" w:hAnsi="Arial" w:cs="Arial"/>
          <w:smallCaps/>
          <w:lang w:val="en-CA"/>
        </w:rPr>
        <w:t xml:space="preserve"> AND Revision</w:t>
      </w:r>
    </w:p>
    <w:p w14:paraId="3FF38B1A" w14:textId="77777777" w:rsidR="00332A0E" w:rsidRPr="00CE4D1C" w:rsidRDefault="00332A0E" w:rsidP="00332A0E">
      <w:pPr>
        <w:keepNext/>
        <w:jc w:val="both"/>
        <w:rPr>
          <w:rFonts w:ascii="Arial" w:hAnsi="Arial" w:cs="Arial"/>
          <w:lang w:val="en-CA"/>
        </w:rPr>
      </w:pPr>
    </w:p>
    <w:p w14:paraId="7D2C3CDB" w14:textId="77777777" w:rsidR="00332A0E" w:rsidRPr="00EA0845" w:rsidRDefault="00332A0E" w:rsidP="00332A0E">
      <w:pPr>
        <w:keepNext/>
        <w:jc w:val="both"/>
        <w:rPr>
          <w:rFonts w:ascii="Arial" w:hAnsi="Arial" w:cs="Arial"/>
          <w:b/>
          <w:lang w:val="en-CA"/>
        </w:rPr>
      </w:pPr>
      <w:r w:rsidRPr="00EA0845">
        <w:rPr>
          <w:rFonts w:ascii="Arial" w:hAnsi="Arial" w:cs="Arial"/>
          <w:b/>
          <w:lang w:val="en-CA"/>
        </w:rPr>
        <w:t>1. Prohibition of the use of force</w:t>
      </w:r>
    </w:p>
    <w:p w14:paraId="2527AAA7" w14:textId="77777777" w:rsidR="00332A0E" w:rsidRPr="00EA0845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EA0845">
        <w:rPr>
          <w:rFonts w:ascii="Arial" w:hAnsi="Arial" w:cs="Arial"/>
          <w:b/>
          <w:lang w:val="en-CA"/>
        </w:rPr>
        <w:t>2. Legal consequences of the use of force</w:t>
      </w:r>
    </w:p>
    <w:p w14:paraId="7DCA7D57" w14:textId="77777777" w:rsidR="00332A0E" w:rsidRPr="00EA0845" w:rsidRDefault="00332A0E" w:rsidP="00332A0E">
      <w:pPr>
        <w:jc w:val="both"/>
        <w:rPr>
          <w:rFonts w:ascii="Arial" w:hAnsi="Arial" w:cs="Arial"/>
          <w:b/>
          <w:lang w:val="en-CA"/>
        </w:rPr>
      </w:pPr>
      <w:r w:rsidRPr="00EA0845">
        <w:rPr>
          <w:rFonts w:ascii="Arial" w:hAnsi="Arial" w:cs="Arial"/>
          <w:b/>
          <w:lang w:val="en-CA"/>
        </w:rPr>
        <w:t xml:space="preserve">3. Duty of </w:t>
      </w:r>
      <w:r>
        <w:rPr>
          <w:rFonts w:ascii="Arial" w:hAnsi="Arial" w:cs="Arial"/>
          <w:b/>
          <w:lang w:val="en-CA"/>
        </w:rPr>
        <w:t xml:space="preserve">the </w:t>
      </w:r>
      <w:r w:rsidRPr="00EA0845">
        <w:rPr>
          <w:rFonts w:ascii="Arial" w:hAnsi="Arial" w:cs="Arial"/>
          <w:b/>
          <w:lang w:val="en-CA"/>
        </w:rPr>
        <w:t>peaceful settlement of disputes</w:t>
      </w:r>
    </w:p>
    <w:p w14:paraId="5C37670B" w14:textId="77777777" w:rsidR="00332A0E" w:rsidRPr="00EA0845" w:rsidRDefault="00332A0E" w:rsidP="00332A0E">
      <w:pPr>
        <w:jc w:val="both"/>
        <w:rPr>
          <w:rFonts w:ascii="Arial" w:hAnsi="Arial" w:cs="Arial"/>
          <w:lang w:val="en-CA"/>
        </w:rPr>
      </w:pPr>
    </w:p>
    <w:p w14:paraId="5478F553" w14:textId="77777777" w:rsidR="00332A0E" w:rsidRPr="001F3F0A" w:rsidRDefault="00332A0E" w:rsidP="00332A0E">
      <w:pPr>
        <w:jc w:val="both"/>
        <w:rPr>
          <w:rFonts w:ascii="Arial" w:hAnsi="Arial" w:cs="Arial"/>
          <w:u w:val="single"/>
          <w:lang w:val="en-CA"/>
        </w:rPr>
      </w:pPr>
      <w:r w:rsidRPr="001F3F0A">
        <w:rPr>
          <w:rFonts w:ascii="Arial" w:hAnsi="Arial" w:cs="Arial"/>
          <w:u w:val="single"/>
          <w:lang w:val="en-CA"/>
        </w:rPr>
        <w:t>Readings:</w:t>
      </w:r>
    </w:p>
    <w:p w14:paraId="3F68534F" w14:textId="77777777" w:rsidR="00332A0E" w:rsidRDefault="00332A0E" w:rsidP="00332A0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CA"/>
        </w:rPr>
      </w:pPr>
      <w:r w:rsidRPr="00907776">
        <w:rPr>
          <w:rFonts w:ascii="Arial" w:hAnsi="Arial" w:cs="Arial"/>
          <w:lang w:val="en-CA"/>
        </w:rPr>
        <w:t xml:space="preserve">Charter of the United Nations adopted on 26 June 1945 (entered into force on 25 October 1945), available at </w:t>
      </w:r>
      <w:r>
        <w:rPr>
          <w:rFonts w:ascii="Arial" w:hAnsi="Arial" w:cs="Arial"/>
          <w:lang w:val="en-CA"/>
        </w:rPr>
        <w:t>online;</w:t>
      </w:r>
    </w:p>
    <w:p w14:paraId="2050D598" w14:textId="77777777" w:rsidR="00332A0E" w:rsidRPr="00907776" w:rsidRDefault="00332A0E" w:rsidP="00332A0E">
      <w:pPr>
        <w:autoSpaceDE w:val="0"/>
        <w:autoSpaceDN w:val="0"/>
        <w:adjustRightInd w:val="0"/>
        <w:ind w:left="720" w:hanging="12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Read articles 1, 2, 33-51, 92-96 of the Charter and articles 34-38, 41, 65, 66 of the Statute of the International Court of Justice.</w:t>
      </w:r>
    </w:p>
    <w:p w14:paraId="581EDE2A" w14:textId="77777777" w:rsidR="00332A0E" w:rsidRPr="008B1E32" w:rsidRDefault="00332A0E" w:rsidP="00332A0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CA"/>
        </w:rPr>
      </w:pPr>
      <w:r w:rsidRPr="00CC4839">
        <w:rPr>
          <w:rFonts w:ascii="Arial" w:hAnsi="Arial" w:cs="Arial"/>
          <w:lang w:val="en-CA"/>
        </w:rPr>
        <w:t>Declaration on principles of international law concerning friendly relations and cooperation among states in accordance with the Charter of the United Nations</w:t>
      </w:r>
      <w:r w:rsidRPr="00907776">
        <w:rPr>
          <w:rFonts w:ascii="Arial" w:hAnsi="Arial" w:cs="Arial"/>
          <w:lang w:val="en-CA"/>
        </w:rPr>
        <w:t xml:space="preserve">, </w:t>
      </w:r>
      <w:r>
        <w:rPr>
          <w:rFonts w:ascii="Arial" w:hAnsi="Arial" w:cs="Arial"/>
          <w:lang w:val="en-CA"/>
        </w:rPr>
        <w:t>adopted by the UN General Assembly on</w:t>
      </w:r>
      <w:r w:rsidRPr="00907776">
        <w:rPr>
          <w:rFonts w:ascii="Arial" w:hAnsi="Arial" w:cs="Arial"/>
          <w:lang w:val="en-CA"/>
        </w:rPr>
        <w:t xml:space="preserve"> 24 </w:t>
      </w:r>
      <w:r>
        <w:rPr>
          <w:rFonts w:ascii="Arial" w:hAnsi="Arial" w:cs="Arial"/>
          <w:lang w:val="en-CA"/>
        </w:rPr>
        <w:t>October</w:t>
      </w:r>
      <w:r w:rsidRPr="00907776">
        <w:rPr>
          <w:rFonts w:ascii="Arial" w:hAnsi="Arial" w:cs="Arial"/>
          <w:lang w:val="en-CA"/>
        </w:rPr>
        <w:t xml:space="preserve"> 1970, </w:t>
      </w:r>
      <w:r>
        <w:rPr>
          <w:rFonts w:ascii="Arial" w:hAnsi="Arial" w:cs="Arial"/>
          <w:lang w:val="en-CA"/>
        </w:rPr>
        <w:t xml:space="preserve">GA Official </w:t>
      </w:r>
      <w:r>
        <w:rPr>
          <w:rFonts w:ascii="Arial" w:hAnsi="Arial" w:cs="Arial"/>
          <w:lang w:val="en-CA"/>
        </w:rPr>
        <w:lastRenderedPageBreak/>
        <w:t>documents</w:t>
      </w:r>
      <w:r w:rsidRPr="008B1E32">
        <w:rPr>
          <w:rFonts w:ascii="Arial" w:hAnsi="Arial" w:cs="Arial"/>
          <w:lang w:val="en-CA"/>
        </w:rPr>
        <w:t xml:space="preserve">, </w:t>
      </w:r>
      <w:r>
        <w:rPr>
          <w:rFonts w:ascii="Arial" w:hAnsi="Arial" w:cs="Arial"/>
          <w:lang w:val="en-CA"/>
        </w:rPr>
        <w:t>25</w:t>
      </w:r>
      <w:r w:rsidRPr="008B1E32">
        <w:rPr>
          <w:rFonts w:ascii="Arial" w:hAnsi="Arial" w:cs="Arial"/>
          <w:vertAlign w:val="superscript"/>
          <w:lang w:val="en-CA"/>
        </w:rPr>
        <w:t>th</w:t>
      </w:r>
      <w:r>
        <w:rPr>
          <w:rFonts w:ascii="Arial" w:hAnsi="Arial" w:cs="Arial"/>
          <w:lang w:val="en-CA"/>
        </w:rPr>
        <w:t xml:space="preserve"> session</w:t>
      </w:r>
      <w:r w:rsidRPr="008B1E32">
        <w:rPr>
          <w:rFonts w:ascii="Arial" w:hAnsi="Arial" w:cs="Arial"/>
          <w:lang w:val="en-CA"/>
        </w:rPr>
        <w:t xml:space="preserve">, supp. nº 28, p. 131, </w:t>
      </w:r>
      <w:r>
        <w:rPr>
          <w:rFonts w:ascii="Arial" w:hAnsi="Arial" w:cs="Arial"/>
          <w:lang w:val="en-CA"/>
        </w:rPr>
        <w:t>UN Doc</w:t>
      </w:r>
      <w:r w:rsidRPr="008B1E32">
        <w:rPr>
          <w:rFonts w:ascii="Arial" w:hAnsi="Arial" w:cs="Arial"/>
          <w:lang w:val="en-CA"/>
        </w:rPr>
        <w:t xml:space="preserve"> A/5217 (1970)</w:t>
      </w:r>
      <w:r>
        <w:rPr>
          <w:rFonts w:ascii="Arial" w:hAnsi="Arial" w:cs="Arial"/>
          <w:lang w:val="en-CA"/>
        </w:rPr>
        <w:t xml:space="preserve">, available at </w:t>
      </w:r>
      <w:r w:rsidRPr="00881287">
        <w:t>http://www.un-documents.net/a25r2625.htm</w:t>
      </w:r>
    </w:p>
    <w:p w14:paraId="333DE912" w14:textId="77777777" w:rsidR="00332A0E" w:rsidRDefault="00332A0E" w:rsidP="00332A0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CA"/>
        </w:rPr>
      </w:pPr>
      <w:r w:rsidRPr="00F71100">
        <w:rPr>
          <w:rFonts w:ascii="Arial" w:hAnsi="Arial" w:cs="Arial"/>
          <w:bCs/>
          <w:lang w:val="en-CA"/>
        </w:rPr>
        <w:t xml:space="preserve">Military and Paramilitary Activities in and against Nicaragua (Nicaragua </w:t>
      </w:r>
      <w:r w:rsidRPr="00F71100">
        <w:rPr>
          <w:rFonts w:ascii="Arial" w:hAnsi="Arial" w:cs="Arial"/>
          <w:bCs/>
          <w:i/>
          <w:iCs/>
          <w:lang w:val="en-CA"/>
        </w:rPr>
        <w:t>v.</w:t>
      </w:r>
      <w:r w:rsidRPr="00F71100">
        <w:rPr>
          <w:rFonts w:ascii="Arial" w:hAnsi="Arial" w:cs="Arial"/>
          <w:bCs/>
          <w:lang w:val="en-CA"/>
        </w:rPr>
        <w:t xml:space="preserve"> United States of America)</w:t>
      </w:r>
      <w:r w:rsidRPr="00F71100">
        <w:rPr>
          <w:rFonts w:ascii="Arial" w:hAnsi="Arial" w:cs="Arial"/>
          <w:iCs/>
          <w:lang w:val="en-CA"/>
        </w:rPr>
        <w:t xml:space="preserve">, Merits, judgement of </w:t>
      </w:r>
      <w:r w:rsidRPr="00F71100">
        <w:rPr>
          <w:rFonts w:ascii="Arial" w:hAnsi="Arial" w:cs="Arial"/>
          <w:lang w:val="en-CA"/>
        </w:rPr>
        <w:t>26 June 1986, ICJ Reports 1986, p. 14. Read paragraphs 172-269.</w:t>
      </w:r>
    </w:p>
    <w:p w14:paraId="69231C05" w14:textId="77777777" w:rsidR="00332A0E" w:rsidRDefault="00332A0E" w:rsidP="00332A0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Entries from the Max-Planck Encyclopaedia: Responsibility to Protect (Ingo Winkelmann), United Nations, Security Council (Michael Wood)</w:t>
      </w:r>
    </w:p>
    <w:p w14:paraId="02F6ECC6" w14:textId="77777777" w:rsidR="00332A0E" w:rsidRDefault="00332A0E" w:rsidP="00332A0E">
      <w:pPr>
        <w:autoSpaceDE w:val="0"/>
        <w:autoSpaceDN w:val="0"/>
        <w:adjustRightInd w:val="0"/>
        <w:ind w:left="360"/>
        <w:rPr>
          <w:rFonts w:ascii="Arial" w:hAnsi="Arial" w:cs="Arial"/>
          <w:lang w:val="en-CA"/>
        </w:rPr>
      </w:pPr>
    </w:p>
    <w:p w14:paraId="55E60C32" w14:textId="77777777" w:rsidR="00332A0E" w:rsidRPr="004C75AB" w:rsidRDefault="00332A0E" w:rsidP="00332A0E">
      <w:pPr>
        <w:autoSpaceDE w:val="0"/>
        <w:autoSpaceDN w:val="0"/>
        <w:adjustRightInd w:val="0"/>
        <w:ind w:left="360"/>
        <w:rPr>
          <w:rFonts w:ascii="Arial" w:hAnsi="Arial" w:cs="Arial"/>
          <w:u w:val="single"/>
          <w:lang w:val="en-CA"/>
        </w:rPr>
      </w:pPr>
      <w:r w:rsidRPr="004C75AB">
        <w:rPr>
          <w:rFonts w:ascii="Arial" w:hAnsi="Arial" w:cs="Arial"/>
          <w:u w:val="single"/>
          <w:lang w:val="en-CA"/>
        </w:rPr>
        <w:t>Additional readings:</w:t>
      </w:r>
    </w:p>
    <w:p w14:paraId="756EB0B5" w14:textId="77777777" w:rsidR="00332A0E" w:rsidRDefault="00332A0E" w:rsidP="00332A0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Hugh </w:t>
      </w:r>
      <w:proofErr w:type="spellStart"/>
      <w:r>
        <w:rPr>
          <w:rFonts w:ascii="Arial" w:hAnsi="Arial" w:cs="Arial"/>
          <w:lang w:val="en-CA"/>
        </w:rPr>
        <w:t>Thirlway</w:t>
      </w:r>
      <w:proofErr w:type="spellEnd"/>
      <w:r>
        <w:rPr>
          <w:rFonts w:ascii="Arial" w:hAnsi="Arial" w:cs="Arial"/>
          <w:lang w:val="en-CA"/>
        </w:rPr>
        <w:t>,</w:t>
      </w:r>
      <w:r w:rsidRPr="004C75AB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“</w:t>
      </w:r>
      <w:r w:rsidRPr="004C75AB">
        <w:rPr>
          <w:rFonts w:ascii="Arial" w:hAnsi="Arial" w:cs="Arial"/>
          <w:lang w:val="en-CA"/>
        </w:rPr>
        <w:t>The international court of justice</w:t>
      </w:r>
      <w:r>
        <w:rPr>
          <w:rFonts w:ascii="Arial" w:hAnsi="Arial" w:cs="Arial"/>
          <w:lang w:val="en-CA"/>
        </w:rPr>
        <w:t xml:space="preserve">” in </w:t>
      </w:r>
      <w:r w:rsidRPr="00934CA3">
        <w:rPr>
          <w:rFonts w:ascii="Arial" w:hAnsi="Arial" w:cs="Arial"/>
          <w:lang w:val="en-GB"/>
        </w:rPr>
        <w:t xml:space="preserve">M. 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edition).</w:t>
      </w:r>
    </w:p>
    <w:p w14:paraId="327DF8BB" w14:textId="77777777" w:rsidR="00332A0E" w:rsidRPr="004C75AB" w:rsidRDefault="00332A0E" w:rsidP="00332A0E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Gray,</w:t>
      </w:r>
      <w:r w:rsidRPr="004C75AB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“</w:t>
      </w:r>
      <w:r w:rsidRPr="004C75AB">
        <w:rPr>
          <w:rFonts w:ascii="Arial" w:hAnsi="Arial" w:cs="Arial"/>
          <w:lang w:val="en-CA"/>
        </w:rPr>
        <w:t>The use of force and the international legal order</w:t>
      </w:r>
      <w:r>
        <w:rPr>
          <w:rFonts w:ascii="Arial" w:hAnsi="Arial" w:cs="Arial"/>
          <w:lang w:val="en-CA"/>
        </w:rPr>
        <w:t xml:space="preserve">” in </w:t>
      </w:r>
      <w:r w:rsidRPr="00934CA3">
        <w:rPr>
          <w:rFonts w:ascii="Arial" w:hAnsi="Arial" w:cs="Arial"/>
          <w:lang w:val="en-GB"/>
        </w:rPr>
        <w:t xml:space="preserve">M. Evans (ed), </w:t>
      </w:r>
      <w:r w:rsidRPr="00934CA3">
        <w:rPr>
          <w:rFonts w:ascii="Arial" w:hAnsi="Arial" w:cs="Arial"/>
          <w:i/>
          <w:iCs/>
          <w:lang w:val="en-GB"/>
        </w:rPr>
        <w:t>International Law</w:t>
      </w:r>
      <w:r w:rsidRPr="00934CA3">
        <w:rPr>
          <w:rFonts w:ascii="Arial" w:hAnsi="Arial" w:cs="Arial"/>
          <w:lang w:val="en-GB"/>
        </w:rPr>
        <w:t>, Oxfor</w:t>
      </w:r>
      <w:r>
        <w:rPr>
          <w:rFonts w:ascii="Arial" w:hAnsi="Arial" w:cs="Arial"/>
          <w:lang w:val="en-GB"/>
        </w:rPr>
        <w:t>d: Oxford University Press (2010, 3</w:t>
      </w:r>
      <w:r w:rsidRPr="00F84E20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edition).</w:t>
      </w:r>
    </w:p>
    <w:p w14:paraId="25BBE3D8" w14:textId="77777777" w:rsidR="00332A0E" w:rsidRDefault="00332A0E" w:rsidP="00332A0E"/>
    <w:p w14:paraId="34209B01" w14:textId="77777777" w:rsidR="00332A0E" w:rsidRDefault="00332A0E" w:rsidP="00332A0E"/>
    <w:p w14:paraId="61E73E6B" w14:textId="77777777" w:rsidR="00332A0E" w:rsidRDefault="00332A0E" w:rsidP="00332A0E"/>
    <w:p w14:paraId="7F526C87" w14:textId="77777777" w:rsidR="00332A0E" w:rsidRDefault="00332A0E" w:rsidP="00332A0E"/>
    <w:p w14:paraId="0AD8DF50" w14:textId="77777777" w:rsidR="005C35F1" w:rsidRDefault="0075098E"/>
    <w:sectPr w:rsidR="005C35F1" w:rsidSect="00C87161">
      <w:footerReference w:type="even" r:id="rId15"/>
      <w:footerReference w:type="default" r:id="rId16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EC61" w14:textId="77777777" w:rsidR="0075098E" w:rsidRDefault="0075098E" w:rsidP="00332A0E">
      <w:r>
        <w:separator/>
      </w:r>
    </w:p>
  </w:endnote>
  <w:endnote w:type="continuationSeparator" w:id="0">
    <w:p w14:paraId="18FB9A9C" w14:textId="77777777" w:rsidR="0075098E" w:rsidRDefault="0075098E" w:rsidP="0033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3A45" w14:textId="77777777" w:rsidR="00D2276B" w:rsidRDefault="00DE1AB0" w:rsidP="00C87161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32D0515E" w14:textId="77777777" w:rsidR="00D2276B" w:rsidRDefault="0075098E" w:rsidP="00C871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31EE" w14:textId="77777777" w:rsidR="00D2276B" w:rsidRDefault="0075098E" w:rsidP="00C87161">
    <w:pPr>
      <w:pStyle w:val="Footer"/>
      <w:framePr w:wrap="around" w:vAnchor="text" w:hAnchor="margin" w:xAlign="right" w:y="1"/>
      <w:rPr>
        <w:rStyle w:val="PageNumber"/>
        <w:rFonts w:eastAsiaTheme="majorEastAsia"/>
      </w:rPr>
    </w:pPr>
  </w:p>
  <w:p w14:paraId="0A44416B" w14:textId="77777777" w:rsidR="00D2276B" w:rsidRPr="00D32411" w:rsidRDefault="00DE1AB0" w:rsidP="00C87161">
    <w:pPr>
      <w:pStyle w:val="Footer"/>
      <w:pBdr>
        <w:top w:val="single" w:sz="4" w:space="1" w:color="auto"/>
      </w:pBdr>
      <w:ind w:right="360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Ekaterina Yahyaoui </w:t>
    </w:r>
    <w:proofErr w:type="spellStart"/>
    <w:r>
      <w:rPr>
        <w:i/>
        <w:sz w:val="20"/>
        <w:szCs w:val="20"/>
      </w:rPr>
      <w:t>Krivenko</w:t>
    </w:r>
    <w:proofErr w:type="spellEnd"/>
  </w:p>
  <w:p w14:paraId="778E640F" w14:textId="77777777" w:rsidR="00D2276B" w:rsidRPr="00D32411" w:rsidRDefault="00DE1AB0" w:rsidP="00C87161">
    <w:pPr>
      <w:pStyle w:val="Footer"/>
      <w:pBdr>
        <w:top w:val="single" w:sz="4" w:space="1" w:color="auto"/>
      </w:pBdr>
      <w:ind w:right="360"/>
      <w:jc w:val="center"/>
      <w:rPr>
        <w:i/>
        <w:sz w:val="20"/>
        <w:szCs w:val="20"/>
      </w:rPr>
    </w:pPr>
    <w:r w:rsidRPr="00D32411">
      <w:rPr>
        <w:i/>
        <w:sz w:val="20"/>
        <w:szCs w:val="20"/>
      </w:rPr>
      <w:t xml:space="preserve">Page </w:t>
    </w:r>
    <w:r w:rsidRPr="00D32411">
      <w:rPr>
        <w:i/>
        <w:sz w:val="20"/>
        <w:szCs w:val="20"/>
      </w:rPr>
      <w:fldChar w:fldCharType="begin"/>
    </w:r>
    <w:r w:rsidRPr="00D32411">
      <w:rPr>
        <w:i/>
        <w:sz w:val="20"/>
        <w:szCs w:val="20"/>
      </w:rPr>
      <w:instrText xml:space="preserve"> PAGE </w:instrText>
    </w:r>
    <w:r w:rsidRPr="00D32411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D32411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of</w:t>
    </w:r>
    <w:r w:rsidRPr="00D32411">
      <w:rPr>
        <w:i/>
        <w:sz w:val="20"/>
        <w:szCs w:val="20"/>
      </w:rPr>
      <w:t xml:space="preserve"> </w:t>
    </w:r>
    <w:r w:rsidRPr="00D32411">
      <w:rPr>
        <w:i/>
        <w:sz w:val="20"/>
        <w:szCs w:val="20"/>
      </w:rPr>
      <w:fldChar w:fldCharType="begin"/>
    </w:r>
    <w:r w:rsidRPr="00D32411">
      <w:rPr>
        <w:i/>
        <w:sz w:val="20"/>
        <w:szCs w:val="20"/>
      </w:rPr>
      <w:instrText xml:space="preserve"> NUMPAGES </w:instrText>
    </w:r>
    <w:r w:rsidRPr="00D32411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D32411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7F3A" w14:textId="77777777" w:rsidR="0075098E" w:rsidRDefault="0075098E" w:rsidP="00332A0E">
      <w:r>
        <w:separator/>
      </w:r>
    </w:p>
  </w:footnote>
  <w:footnote w:type="continuationSeparator" w:id="0">
    <w:p w14:paraId="0B3B7D78" w14:textId="77777777" w:rsidR="0075098E" w:rsidRDefault="0075098E" w:rsidP="00332A0E">
      <w:r>
        <w:continuationSeparator/>
      </w:r>
    </w:p>
  </w:footnote>
  <w:footnote w:id="1">
    <w:p w14:paraId="181A7932" w14:textId="77777777" w:rsidR="00332A0E" w:rsidRPr="00EA0845" w:rsidRDefault="00332A0E" w:rsidP="00332A0E">
      <w:pPr>
        <w:pStyle w:val="FootnoteText"/>
        <w:rPr>
          <w:lang w:val="en-CA"/>
        </w:rPr>
      </w:pPr>
      <w:r w:rsidRPr="00EA0845">
        <w:rPr>
          <w:rStyle w:val="FootnoteReference"/>
          <w:lang w:val="en-CA"/>
        </w:rPr>
        <w:footnoteRef/>
      </w:r>
      <w:r w:rsidRPr="00EA0845">
        <w:rPr>
          <w:lang w:val="en-CA"/>
        </w:rPr>
        <w:t xml:space="preserve"> Please note that week 4 will be exclusively devoted to the issue of reservations to international treaties.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817"/>
    <w:multiLevelType w:val="hybridMultilevel"/>
    <w:tmpl w:val="1A9AD21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2597"/>
    <w:multiLevelType w:val="hybridMultilevel"/>
    <w:tmpl w:val="C78CC7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642F"/>
    <w:multiLevelType w:val="hybridMultilevel"/>
    <w:tmpl w:val="3B64BC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3F0C"/>
    <w:multiLevelType w:val="hybridMultilevel"/>
    <w:tmpl w:val="CE008F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149"/>
    <w:multiLevelType w:val="hybridMultilevel"/>
    <w:tmpl w:val="4F4694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111EC"/>
    <w:multiLevelType w:val="hybridMultilevel"/>
    <w:tmpl w:val="574C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A0601"/>
    <w:multiLevelType w:val="hybridMultilevel"/>
    <w:tmpl w:val="06C077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7606"/>
    <w:multiLevelType w:val="hybridMultilevel"/>
    <w:tmpl w:val="F33E59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D5020"/>
    <w:multiLevelType w:val="hybridMultilevel"/>
    <w:tmpl w:val="15826E5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0E"/>
    <w:rsid w:val="00004B1C"/>
    <w:rsid w:val="00032B09"/>
    <w:rsid w:val="000A52A4"/>
    <w:rsid w:val="000D60A7"/>
    <w:rsid w:val="000F3263"/>
    <w:rsid w:val="002E066E"/>
    <w:rsid w:val="00332A0E"/>
    <w:rsid w:val="003D6724"/>
    <w:rsid w:val="00673D6A"/>
    <w:rsid w:val="0075098E"/>
    <w:rsid w:val="007721F3"/>
    <w:rsid w:val="007B6F4C"/>
    <w:rsid w:val="00A7576D"/>
    <w:rsid w:val="00B57A20"/>
    <w:rsid w:val="00BC1A38"/>
    <w:rsid w:val="00C53E96"/>
    <w:rsid w:val="00DE1AB0"/>
    <w:rsid w:val="00E037B9"/>
    <w:rsid w:val="00E344BE"/>
    <w:rsid w:val="00EA474A"/>
    <w:rsid w:val="00F17A3B"/>
    <w:rsid w:val="00F93FCD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68CFD"/>
  <w14:defaultImageDpi w14:val="32767"/>
  <w15:chartTrackingRefBased/>
  <w15:docId w15:val="{FF5E30CD-7143-9F40-9B2C-0FA52530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2A0E"/>
    <w:rPr>
      <w:rFonts w:ascii="Times New Roman" w:eastAsia="Times New Roman" w:hAnsi="Times New Roman" w:cs="Times New Roman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E96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53E96"/>
    <w:pPr>
      <w:keepNext/>
      <w:keepLines/>
      <w:spacing w:before="40"/>
      <w:outlineLvl w:val="1"/>
    </w:pPr>
    <w:rPr>
      <w:rFonts w:eastAsiaTheme="majorEastAsia" w:cstheme="majorBidi"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7576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96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C53E96"/>
    <w:rPr>
      <w:rFonts w:eastAsiaTheme="majorEastAsia" w:cstheme="majorBidi"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576D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autoRedefine/>
    <w:unhideWhenUsed/>
    <w:qFormat/>
    <w:rsid w:val="00332A0E"/>
    <w:rPr>
      <w:rFonts w:eastAsiaTheme="minorEastAsia" w:cstheme="minorBidi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rsid w:val="00332A0E"/>
    <w:rPr>
      <w:rFonts w:ascii="Times New Roman" w:eastAsiaTheme="minorEastAsia" w:hAnsi="Times New Roman"/>
      <w:lang w:eastAsia="ja-JP"/>
    </w:rPr>
  </w:style>
  <w:style w:type="character" w:customStyle="1" w:styleId="textvc101">
    <w:name w:val="textvc101"/>
    <w:rsid w:val="00332A0E"/>
    <w:rPr>
      <w:rFonts w:ascii="Verdana" w:hAnsi="Verdana" w:hint="default"/>
      <w:i w:val="0"/>
      <w:iCs w:val="0"/>
      <w:color w:val="898931"/>
      <w:sz w:val="20"/>
      <w:szCs w:val="20"/>
    </w:rPr>
  </w:style>
  <w:style w:type="character" w:styleId="Hyperlink">
    <w:name w:val="Hyperlink"/>
    <w:rsid w:val="00332A0E"/>
    <w:rPr>
      <w:color w:val="0000FF"/>
      <w:u w:val="single"/>
    </w:rPr>
  </w:style>
  <w:style w:type="paragraph" w:styleId="Footer">
    <w:name w:val="footer"/>
    <w:basedOn w:val="Normal"/>
    <w:link w:val="FooterChar"/>
    <w:rsid w:val="00332A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2A0E"/>
    <w:rPr>
      <w:rFonts w:ascii="Times New Roman" w:eastAsia="Times New Roman" w:hAnsi="Times New Roman" w:cs="Times New Roman"/>
      <w:lang w:val="fr-FR" w:eastAsia="fr-FR"/>
    </w:rPr>
  </w:style>
  <w:style w:type="character" w:styleId="PageNumber">
    <w:name w:val="page number"/>
    <w:basedOn w:val="DefaultParagraphFont"/>
    <w:rsid w:val="00332A0E"/>
  </w:style>
  <w:style w:type="character" w:styleId="FootnoteReference">
    <w:name w:val="footnote reference"/>
    <w:semiHidden/>
    <w:rsid w:val="00332A0E"/>
    <w:rPr>
      <w:vertAlign w:val="superscript"/>
    </w:rPr>
  </w:style>
  <w:style w:type="paragraph" w:styleId="Title">
    <w:name w:val="Title"/>
    <w:basedOn w:val="Normal"/>
    <w:link w:val="TitleChar"/>
    <w:qFormat/>
    <w:rsid w:val="00332A0E"/>
    <w:pPr>
      <w:jc w:val="center"/>
      <w:outlineLvl w:val="0"/>
    </w:pPr>
    <w:rPr>
      <w:rFonts w:ascii="Arial" w:hAnsi="Arial" w:cs="Arial"/>
      <w:b/>
      <w:bCs/>
      <w:sz w:val="48"/>
      <w:lang w:val="en-GB" w:eastAsia="en-US"/>
    </w:rPr>
  </w:style>
  <w:style w:type="character" w:customStyle="1" w:styleId="TitleChar">
    <w:name w:val="Title Char"/>
    <w:basedOn w:val="DefaultParagraphFont"/>
    <w:link w:val="Title"/>
    <w:rsid w:val="00332A0E"/>
    <w:rPr>
      <w:rFonts w:ascii="Arial" w:eastAsia="Times New Roman" w:hAnsi="Arial" w:cs="Arial"/>
      <w:b/>
      <w:bCs/>
      <w:sz w:val="48"/>
    </w:rPr>
  </w:style>
  <w:style w:type="character" w:styleId="HTMLCite">
    <w:name w:val="HTML Cite"/>
    <w:basedOn w:val="DefaultParagraphFont"/>
    <w:uiPriority w:val="99"/>
    <w:semiHidden/>
    <w:unhideWhenUsed/>
    <w:rsid w:val="00332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j-cij.org/en/list-of-all-cases" TargetMode="External"/><Relationship Id="rId13" Type="http://schemas.openxmlformats.org/officeDocument/2006/relationships/hyperlink" Target="http://ejil.org/pdfs/6/1/130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aterina.yahyaoui@nuigalway.ie" TargetMode="External"/><Relationship Id="rId12" Type="http://schemas.openxmlformats.org/officeDocument/2006/relationships/hyperlink" Target="http://www.refworld.org/docid/453883fc1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inonline.org/HOL/Page?handle=hein.journals/hilj32&amp;id=1&amp;size=2&amp;collection=journals&amp;index=journals/hil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ambridge.org/ie/academic/subjects/law/public-international-law/international-law-7th-edition?format=HB&amp;isbn=9781107040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epil.com/" TargetMode="External"/><Relationship Id="rId14" Type="http://schemas.openxmlformats.org/officeDocument/2006/relationships/hyperlink" Target="http://papers.ssrn.com/sol3/papers.cfm?abstract_id=1083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2289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Yahyaoui, Ekaterina</dc:creator>
  <cp:keywords/>
  <dc:description/>
  <cp:lastModifiedBy>Yahyaoui, Ekaterina</cp:lastModifiedBy>
  <cp:revision>4</cp:revision>
  <dcterms:created xsi:type="dcterms:W3CDTF">2019-08-07T08:09:00Z</dcterms:created>
  <dcterms:modified xsi:type="dcterms:W3CDTF">2019-09-03T07:36:00Z</dcterms:modified>
</cp:coreProperties>
</file>