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626" w14:textId="77777777" w:rsidR="003C6EFF" w:rsidRPr="00CF6CCE" w:rsidRDefault="003C6EFF" w:rsidP="00F46CC9">
      <w:pPr>
        <w:pStyle w:val="Title"/>
        <w:rPr>
          <w:rFonts w:ascii="Garamond" w:hAnsi="Garamond" w:cs="Times New Roman"/>
          <w:spacing w:val="-2"/>
          <w:sz w:val="24"/>
        </w:rPr>
      </w:pPr>
      <w:bookmarkStart w:id="0" w:name="Section_I__Theory_of_Information_Systems"/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  <w:r w:rsidRPr="00CF6CCE">
        <w:rPr>
          <w:rFonts w:ascii="Garamond" w:hAnsi="Garamond" w:cs="Times New Roman"/>
          <w:spacing w:val="-2"/>
          <w:sz w:val="24"/>
        </w:rPr>
        <w:tab/>
      </w:r>
    </w:p>
    <w:p w14:paraId="1FE4775C" w14:textId="5B9277B0" w:rsidR="003C6EFF" w:rsidRPr="00CF6CCE" w:rsidRDefault="006A1E2A" w:rsidP="00F46CC9">
      <w:pPr>
        <w:pStyle w:val="Title"/>
        <w:rPr>
          <w:rFonts w:ascii="Garamond" w:hAnsi="Garamond" w:cs="Times New Roman"/>
          <w:sz w:val="24"/>
        </w:rPr>
      </w:pPr>
      <w:r w:rsidRPr="00CF6CCE">
        <w:rPr>
          <w:rFonts w:ascii="Garamond" w:hAnsi="Garamond" w:cs="Times New Roman"/>
          <w:sz w:val="24"/>
        </w:rPr>
        <w:t>Irish Centre for Human Rights</w:t>
      </w:r>
      <w:r w:rsidR="00D70108" w:rsidRPr="00CF6CCE">
        <w:rPr>
          <w:rFonts w:ascii="Garamond" w:hAnsi="Garamond" w:cs="Times New Roman"/>
          <w:sz w:val="24"/>
        </w:rPr>
        <w:t xml:space="preserve">, </w:t>
      </w:r>
      <w:r w:rsidR="00CF6CCE">
        <w:rPr>
          <w:rFonts w:ascii="Garamond" w:hAnsi="Garamond" w:cs="Times New Roman"/>
          <w:sz w:val="24"/>
        </w:rPr>
        <w:t>University of</w:t>
      </w:r>
      <w:r w:rsidR="00D70108" w:rsidRPr="00CF6CCE">
        <w:rPr>
          <w:rFonts w:ascii="Garamond" w:hAnsi="Garamond" w:cs="Times New Roman"/>
          <w:sz w:val="24"/>
        </w:rPr>
        <w:t xml:space="preserve"> Galway</w:t>
      </w:r>
    </w:p>
    <w:p w14:paraId="1AC3B8F3" w14:textId="26F6B218" w:rsidR="00BC4FCA" w:rsidRPr="00CF6CCE" w:rsidRDefault="004A3551" w:rsidP="00BC4FCA">
      <w:pPr>
        <w:pStyle w:val="Title"/>
        <w:rPr>
          <w:rFonts w:ascii="Garamond" w:hAnsi="Garamond" w:cs="Times New Roman"/>
          <w:iCs/>
          <w:sz w:val="24"/>
        </w:rPr>
      </w:pPr>
      <w:r w:rsidRPr="00CF6CCE">
        <w:rPr>
          <w:rFonts w:ascii="Garamond" w:hAnsi="Garamond" w:cs="Times New Roman"/>
          <w:iCs/>
          <w:sz w:val="24"/>
        </w:rPr>
        <w:t>Public International Law</w:t>
      </w:r>
      <w:r w:rsidR="001E584F" w:rsidRPr="00CF6CCE">
        <w:rPr>
          <w:rFonts w:ascii="Garamond" w:hAnsi="Garamond" w:cs="Times New Roman"/>
          <w:iCs/>
          <w:sz w:val="24"/>
        </w:rPr>
        <w:t xml:space="preserve"> </w:t>
      </w:r>
      <w:r w:rsidR="00BC4FCA" w:rsidRPr="00CF6CCE">
        <w:rPr>
          <w:rFonts w:ascii="Garamond" w:hAnsi="Garamond" w:cs="Times New Roman"/>
          <w:iCs/>
          <w:sz w:val="24"/>
        </w:rPr>
        <w:t>(</w:t>
      </w:r>
      <w:r w:rsidR="006A1E2A" w:rsidRPr="00CF6CCE">
        <w:rPr>
          <w:rFonts w:ascii="Garamond" w:hAnsi="Garamond" w:cs="Times New Roman"/>
          <w:iCs/>
          <w:sz w:val="24"/>
        </w:rPr>
        <w:t>LW</w:t>
      </w:r>
      <w:r w:rsidR="00CC4FE1" w:rsidRPr="00CF6CCE">
        <w:rPr>
          <w:rFonts w:ascii="Garamond" w:hAnsi="Garamond" w:cs="Times New Roman"/>
          <w:iCs/>
          <w:sz w:val="24"/>
        </w:rPr>
        <w:t>5118</w:t>
      </w:r>
      <w:r w:rsidR="00BC4FCA" w:rsidRPr="00CF6CCE">
        <w:rPr>
          <w:rFonts w:ascii="Garamond" w:hAnsi="Garamond" w:cs="Times New Roman"/>
          <w:iCs/>
          <w:sz w:val="24"/>
        </w:rPr>
        <w:t>)</w:t>
      </w:r>
    </w:p>
    <w:p w14:paraId="619B026A" w14:textId="154D58E8" w:rsidR="003C6EFF" w:rsidRPr="00CF6CCE" w:rsidRDefault="003C6EFF" w:rsidP="00BC4FCA">
      <w:pPr>
        <w:pStyle w:val="Title"/>
        <w:rPr>
          <w:rFonts w:ascii="Garamond" w:hAnsi="Garamond" w:cs="Times New Roman"/>
          <w:iCs/>
          <w:sz w:val="24"/>
        </w:rPr>
      </w:pPr>
      <w:r w:rsidRPr="00CF6CCE">
        <w:rPr>
          <w:rFonts w:ascii="Garamond" w:hAnsi="Garamond" w:cs="Times New Roman"/>
          <w:iCs/>
          <w:sz w:val="24"/>
        </w:rPr>
        <w:t xml:space="preserve"> Course Outline</w:t>
      </w:r>
      <w:r w:rsidR="000C458E" w:rsidRPr="00CF6CCE">
        <w:rPr>
          <w:rFonts w:ascii="Garamond" w:hAnsi="Garamond" w:cs="Times New Roman"/>
          <w:bCs w:val="0"/>
          <w:iCs/>
          <w:sz w:val="24"/>
        </w:rPr>
        <w:t xml:space="preserve"> 20</w:t>
      </w:r>
      <w:r w:rsidR="006A1E2A" w:rsidRPr="00CF6CCE">
        <w:rPr>
          <w:rFonts w:ascii="Garamond" w:hAnsi="Garamond" w:cs="Times New Roman"/>
          <w:bCs w:val="0"/>
          <w:iCs/>
          <w:sz w:val="24"/>
        </w:rPr>
        <w:t>2</w:t>
      </w:r>
      <w:r w:rsidR="00CF6CCE">
        <w:rPr>
          <w:rFonts w:ascii="Garamond" w:hAnsi="Garamond" w:cs="Times New Roman"/>
          <w:bCs w:val="0"/>
          <w:iCs/>
          <w:sz w:val="24"/>
        </w:rPr>
        <w:t>3</w:t>
      </w:r>
      <w:r w:rsidR="006A1E2A" w:rsidRPr="00CF6CCE">
        <w:rPr>
          <w:rFonts w:ascii="Garamond" w:hAnsi="Garamond" w:cs="Times New Roman"/>
          <w:bCs w:val="0"/>
          <w:iCs/>
          <w:sz w:val="24"/>
        </w:rPr>
        <w:t>-2</w:t>
      </w:r>
      <w:r w:rsidR="00CF6CCE">
        <w:rPr>
          <w:rFonts w:ascii="Garamond" w:hAnsi="Garamond" w:cs="Times New Roman"/>
          <w:bCs w:val="0"/>
          <w:iCs/>
          <w:sz w:val="24"/>
        </w:rPr>
        <w:t>4</w:t>
      </w:r>
    </w:p>
    <w:p w14:paraId="12B888EF" w14:textId="77777777" w:rsidR="003C6EFF" w:rsidRPr="00CF6CCE" w:rsidRDefault="003C6EFF" w:rsidP="00F46CC9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4C69E5EE" w14:textId="77777777" w:rsidR="003C6EFF" w:rsidRPr="00CF6CCE" w:rsidRDefault="003C6EFF" w:rsidP="00F46CC9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357"/>
        <w:gridCol w:w="1660"/>
        <w:gridCol w:w="1386"/>
        <w:gridCol w:w="3187"/>
      </w:tblGrid>
      <w:tr w:rsidR="0046656C" w:rsidRPr="00CF6CCE" w14:paraId="3EF60C1C" w14:textId="77777777" w:rsidTr="00850B73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6C2A4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</w:rPr>
            </w:pPr>
            <w:r w:rsidRPr="00CF6CCE">
              <w:rPr>
                <w:rFonts w:ascii="Garamond" w:hAnsi="Garamond"/>
                <w:b/>
              </w:rPr>
              <w:t>Objective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5A0" w14:textId="77777777" w:rsidR="003C6EFF" w:rsidRPr="00CF6CCE" w:rsidRDefault="003C6EFF" w:rsidP="00F46CC9">
            <w:p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The objective of this course is to:</w:t>
            </w:r>
          </w:p>
          <w:p w14:paraId="5599B232" w14:textId="5F948983" w:rsidR="00022973" w:rsidRPr="00CF6CCE" w:rsidRDefault="00056B52" w:rsidP="00F46CC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Intro</w:t>
            </w:r>
            <w:r w:rsidR="00C25E57" w:rsidRPr="00CF6CCE">
              <w:rPr>
                <w:rFonts w:ascii="Garamond" w:hAnsi="Garamond"/>
              </w:rPr>
              <w:t>duce students to the basic principles</w:t>
            </w:r>
            <w:r w:rsidRPr="00CF6CCE">
              <w:rPr>
                <w:rFonts w:ascii="Garamond" w:hAnsi="Garamond"/>
              </w:rPr>
              <w:t xml:space="preserve"> and concepts of </w:t>
            </w:r>
            <w:r w:rsidR="00152003" w:rsidRPr="00CF6CCE">
              <w:rPr>
                <w:rFonts w:ascii="Garamond" w:hAnsi="Garamond"/>
              </w:rPr>
              <w:t>Public International Law (</w:t>
            </w:r>
            <w:r w:rsidRPr="00CF6CCE">
              <w:rPr>
                <w:rFonts w:ascii="Garamond" w:hAnsi="Garamond"/>
              </w:rPr>
              <w:t>PIL</w:t>
            </w:r>
            <w:r w:rsidR="00152003" w:rsidRPr="00CF6CCE">
              <w:rPr>
                <w:rFonts w:ascii="Garamond" w:hAnsi="Garamond"/>
              </w:rPr>
              <w:t>)</w:t>
            </w:r>
            <w:r w:rsidR="00CF6CCE">
              <w:rPr>
                <w:rFonts w:ascii="Garamond" w:hAnsi="Garamond"/>
              </w:rPr>
              <w:t>.</w:t>
            </w:r>
          </w:p>
          <w:p w14:paraId="050A920B" w14:textId="2E6E7BEA" w:rsidR="00056B52" w:rsidRPr="00CF6CCE" w:rsidRDefault="00056B52" w:rsidP="00F46CC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Expose students to the PIL foundations of their specialism </w:t>
            </w:r>
            <w:proofErr w:type="gramStart"/>
            <w:r w:rsidRPr="00CF6CCE">
              <w:rPr>
                <w:rFonts w:ascii="Garamond" w:hAnsi="Garamond"/>
              </w:rPr>
              <w:t>e.g.</w:t>
            </w:r>
            <w:proofErr w:type="gramEnd"/>
            <w:r w:rsidRPr="00CF6CCE">
              <w:rPr>
                <w:rFonts w:ascii="Garamond" w:hAnsi="Garamond"/>
              </w:rPr>
              <w:t xml:space="preserve"> International Human Rights Law, International Criminal Law etc</w:t>
            </w:r>
            <w:r w:rsidR="00CF6CCE">
              <w:rPr>
                <w:rFonts w:ascii="Garamond" w:hAnsi="Garamond"/>
              </w:rPr>
              <w:t>.</w:t>
            </w:r>
          </w:p>
          <w:p w14:paraId="04560D3F" w14:textId="7831ED6E" w:rsidR="00022973" w:rsidRPr="00CF6CCE" w:rsidRDefault="00056B52" w:rsidP="00F46CC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Equip students with PIL research skills</w:t>
            </w:r>
            <w:r w:rsidR="00CF6CCE">
              <w:rPr>
                <w:rFonts w:ascii="Garamond" w:hAnsi="Garamond"/>
              </w:rPr>
              <w:t>.</w:t>
            </w:r>
          </w:p>
          <w:p w14:paraId="5B2059CE" w14:textId="55A363A1" w:rsidR="00E05BFC" w:rsidRPr="00CF6CCE" w:rsidRDefault="00E05BFC" w:rsidP="00F46CC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Enable students to analyse real-world international events through a PIL lens</w:t>
            </w:r>
            <w:r w:rsidR="00CF6CCE">
              <w:rPr>
                <w:rFonts w:ascii="Garamond" w:hAnsi="Garamond"/>
              </w:rPr>
              <w:t>.</w:t>
            </w:r>
          </w:p>
          <w:p w14:paraId="5DD7E842" w14:textId="5461C359" w:rsidR="00C25E57" w:rsidRPr="00CF6CCE" w:rsidRDefault="00C25E57" w:rsidP="00331266">
            <w:pPr>
              <w:rPr>
                <w:rFonts w:ascii="Garamond" w:hAnsi="Garamond"/>
              </w:rPr>
            </w:pPr>
          </w:p>
        </w:tc>
      </w:tr>
      <w:tr w:rsidR="0046656C" w:rsidRPr="00CF6CCE" w14:paraId="1C283BF1" w14:textId="77777777" w:rsidTr="008B14A6">
        <w:trPr>
          <w:trHeight w:val="107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B69BD" w14:textId="77777777" w:rsidR="008B14A6" w:rsidRPr="00CF6CCE" w:rsidRDefault="008B14A6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</w:rPr>
            </w:pPr>
            <w:r w:rsidRPr="00CF6CCE">
              <w:rPr>
                <w:rFonts w:ascii="Garamond" w:hAnsi="Garamond"/>
                <w:b/>
              </w:rPr>
              <w:t>Lecturer(s)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5429CB" w14:textId="3E376873" w:rsidR="008B14A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 xml:space="preserve">Professor Siobhan </w:t>
            </w:r>
            <w:proofErr w:type="spellStart"/>
            <w:r w:rsidRPr="00CF6CCE">
              <w:rPr>
                <w:rFonts w:ascii="Garamond" w:hAnsi="Garamond"/>
                <w:b/>
              </w:rPr>
              <w:t>Mullally</w:t>
            </w:r>
            <w:proofErr w:type="spellEnd"/>
          </w:p>
          <w:p w14:paraId="226857CD" w14:textId="77777777" w:rsidR="008B14A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Cs/>
              </w:rPr>
            </w:pPr>
            <w:hyperlink r:id="rId7" w:history="1">
              <w:r w:rsidRPr="00CF6CCE">
                <w:rPr>
                  <w:rStyle w:val="Hyperlink"/>
                  <w:rFonts w:ascii="Garamond" w:hAnsi="Garamond"/>
                  <w:bCs/>
                </w:rPr>
                <w:t>siobhan.mullally@universityofgalway.ie</w:t>
              </w:r>
            </w:hyperlink>
            <w:r w:rsidRPr="00CF6CCE">
              <w:rPr>
                <w:rFonts w:ascii="Garamond" w:hAnsi="Garamond"/>
                <w:bCs/>
              </w:rPr>
              <w:t xml:space="preserve"> </w:t>
            </w:r>
          </w:p>
          <w:p w14:paraId="63E328B6" w14:textId="77777777" w:rsidR="0033126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Cs/>
              </w:rPr>
            </w:pPr>
          </w:p>
          <w:p w14:paraId="7459F265" w14:textId="1A752927" w:rsidR="0033126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Pearce Clancy</w:t>
            </w:r>
          </w:p>
          <w:p w14:paraId="0255F54C" w14:textId="77777777" w:rsidR="0033126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Cs/>
              </w:rPr>
            </w:pPr>
            <w:hyperlink r:id="rId8" w:history="1">
              <w:r w:rsidRPr="00CF6CCE">
                <w:rPr>
                  <w:rStyle w:val="Hyperlink"/>
                  <w:rFonts w:ascii="Garamond" w:hAnsi="Garamond"/>
                  <w:bCs/>
                </w:rPr>
                <w:t>p.clancy5@universityofgalway.ie</w:t>
              </w:r>
            </w:hyperlink>
            <w:r w:rsidRPr="00CF6CCE">
              <w:rPr>
                <w:rFonts w:ascii="Garamond" w:hAnsi="Garamond"/>
                <w:bCs/>
              </w:rPr>
              <w:t xml:space="preserve"> or </w:t>
            </w:r>
            <w:hyperlink r:id="rId9" w:history="1">
              <w:r w:rsidRPr="00CF6CCE">
                <w:rPr>
                  <w:rStyle w:val="Hyperlink"/>
                  <w:rFonts w:ascii="Garamond" w:hAnsi="Garamond"/>
                  <w:bCs/>
                </w:rPr>
                <w:t>pearce.clancy@universityofgalway.ie</w:t>
              </w:r>
            </w:hyperlink>
            <w:r w:rsidRPr="00CF6CCE">
              <w:rPr>
                <w:rFonts w:ascii="Garamond" w:hAnsi="Garamond"/>
                <w:bCs/>
              </w:rPr>
              <w:t xml:space="preserve"> </w:t>
            </w:r>
          </w:p>
          <w:p w14:paraId="6AECDEB2" w14:textId="57D12190" w:rsidR="00331266" w:rsidRPr="00CF6CCE" w:rsidRDefault="00331266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  <w:bCs/>
              </w:rPr>
            </w:pPr>
          </w:p>
        </w:tc>
      </w:tr>
      <w:tr w:rsidR="0046656C" w:rsidRPr="00CF6CCE" w14:paraId="1D924C5F" w14:textId="77777777" w:rsidTr="001E584F">
        <w:trPr>
          <w:trHeight w:val="134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9748F" w14:textId="77777777" w:rsidR="001E584F" w:rsidRPr="00CF6CCE" w:rsidRDefault="001E584F" w:rsidP="00F46CC9">
            <w:pPr>
              <w:tabs>
                <w:tab w:val="left" w:pos="-720"/>
                <w:tab w:val="left" w:pos="0"/>
                <w:tab w:val="left" w:pos="720"/>
              </w:tabs>
              <w:ind w:left="1440" w:right="84" w:hanging="1440"/>
              <w:jc w:val="center"/>
              <w:rPr>
                <w:rFonts w:ascii="Garamond" w:hAnsi="Garamond"/>
              </w:rPr>
            </w:pPr>
            <w:r w:rsidRPr="00CF6CCE">
              <w:rPr>
                <w:rFonts w:ascii="Garamond" w:hAnsi="Garamond"/>
                <w:b/>
              </w:rPr>
              <w:t>Times</w:t>
            </w:r>
            <w:r w:rsidR="000C458E" w:rsidRPr="00CF6CCE">
              <w:rPr>
                <w:rFonts w:ascii="Garamond" w:hAnsi="Garamond"/>
                <w:b/>
              </w:rPr>
              <w:t xml:space="preserve"> &amp; venue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F2004" w14:textId="77777777" w:rsidR="00331266" w:rsidRPr="00CF6CCE" w:rsidRDefault="00331266" w:rsidP="00F46CC9">
            <w:pPr>
              <w:rPr>
                <w:rFonts w:ascii="Garamond" w:hAnsi="Garamond"/>
              </w:rPr>
            </w:pPr>
          </w:p>
          <w:p w14:paraId="65B95515" w14:textId="730F79C7" w:rsidR="006B681E" w:rsidRPr="00CF6CCE" w:rsidRDefault="00DB28C0" w:rsidP="00F46CC9">
            <w:p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This is an 8-week</w:t>
            </w:r>
            <w:r w:rsidR="00D70108" w:rsidRPr="00CF6CCE">
              <w:rPr>
                <w:rFonts w:ascii="Garamond" w:hAnsi="Garamond"/>
              </w:rPr>
              <w:t xml:space="preserve"> course.</w:t>
            </w:r>
            <w:r w:rsidR="00152003" w:rsidRPr="00CF6CCE">
              <w:rPr>
                <w:rFonts w:ascii="Garamond" w:hAnsi="Garamond"/>
              </w:rPr>
              <w:t xml:space="preserve"> It takes place in </w:t>
            </w:r>
            <w:r w:rsidR="00152003" w:rsidRPr="00CF6CCE">
              <w:rPr>
                <w:rFonts w:ascii="Garamond" w:hAnsi="Garamond"/>
                <w:b/>
              </w:rPr>
              <w:t xml:space="preserve">weeks </w:t>
            </w:r>
            <w:r w:rsidR="00331266" w:rsidRPr="00CF6CCE">
              <w:rPr>
                <w:rFonts w:ascii="Garamond" w:hAnsi="Garamond"/>
                <w:b/>
              </w:rPr>
              <w:t>3</w:t>
            </w:r>
            <w:r w:rsidR="00152003" w:rsidRPr="00CF6CCE">
              <w:rPr>
                <w:rFonts w:ascii="Garamond" w:hAnsi="Garamond"/>
                <w:b/>
              </w:rPr>
              <w:t>-1</w:t>
            </w:r>
            <w:r w:rsidR="00331266" w:rsidRPr="00CF6CCE">
              <w:rPr>
                <w:rFonts w:ascii="Garamond" w:hAnsi="Garamond"/>
                <w:b/>
              </w:rPr>
              <w:t>0</w:t>
            </w:r>
            <w:r w:rsidR="00152003" w:rsidRPr="00CF6CCE">
              <w:rPr>
                <w:rFonts w:ascii="Garamond" w:hAnsi="Garamond"/>
                <w:b/>
              </w:rPr>
              <w:t xml:space="preserve"> of Semester 1</w:t>
            </w:r>
            <w:r w:rsidR="00152003" w:rsidRPr="00CF6CCE">
              <w:rPr>
                <w:rFonts w:ascii="Garamond" w:hAnsi="Garamond"/>
              </w:rPr>
              <w:t>.</w:t>
            </w:r>
          </w:p>
          <w:p w14:paraId="1201FD3F" w14:textId="77777777" w:rsidR="006B681E" w:rsidRPr="00CF6CCE" w:rsidRDefault="006B681E" w:rsidP="00F46CC9">
            <w:pPr>
              <w:rPr>
                <w:rFonts w:ascii="Garamond" w:hAnsi="Garamond"/>
              </w:rPr>
            </w:pPr>
          </w:p>
          <w:p w14:paraId="515CDED7" w14:textId="6C935B89" w:rsidR="001E584F" w:rsidRPr="00CF6CCE" w:rsidRDefault="009B0EEE" w:rsidP="00DB28C0">
            <w:p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We wi</w:t>
            </w:r>
            <w:r w:rsidR="00152003" w:rsidRPr="00CF6CCE">
              <w:rPr>
                <w:rFonts w:ascii="Garamond" w:hAnsi="Garamond"/>
              </w:rPr>
              <w:t xml:space="preserve">ll have a weekly </w:t>
            </w:r>
            <w:r w:rsidR="00911A27">
              <w:rPr>
                <w:rFonts w:ascii="Garamond" w:hAnsi="Garamond"/>
              </w:rPr>
              <w:t>in-person</w:t>
            </w:r>
            <w:r w:rsidR="00152003" w:rsidRPr="00CF6CCE">
              <w:rPr>
                <w:rFonts w:ascii="Garamond" w:hAnsi="Garamond"/>
              </w:rPr>
              <w:t xml:space="preserve"> seminar</w:t>
            </w:r>
            <w:r w:rsidRPr="00CF6CCE">
              <w:rPr>
                <w:rFonts w:ascii="Garamond" w:hAnsi="Garamond"/>
              </w:rPr>
              <w:t xml:space="preserve"> on </w:t>
            </w:r>
            <w:r w:rsidR="00152003" w:rsidRPr="00CF6CCE">
              <w:rPr>
                <w:rFonts w:ascii="Garamond" w:hAnsi="Garamond"/>
                <w:b/>
              </w:rPr>
              <w:t xml:space="preserve">Thursdays from 10am-1pm, </w:t>
            </w:r>
            <w:r w:rsidR="00C15C20">
              <w:rPr>
                <w:rFonts w:ascii="Garamond" w:hAnsi="Garamond"/>
              </w:rPr>
              <w:t>in the Irish Centre for Human Rights’ seminar room</w:t>
            </w:r>
            <w:r w:rsidR="00152003" w:rsidRPr="00CF6CCE">
              <w:rPr>
                <w:rFonts w:ascii="Garamond" w:hAnsi="Garamond"/>
              </w:rPr>
              <w:t xml:space="preserve">. </w:t>
            </w:r>
          </w:p>
          <w:p w14:paraId="3D6561EB" w14:textId="77777777" w:rsidR="00F7121F" w:rsidRPr="00CF6CCE" w:rsidRDefault="00F7121F" w:rsidP="00DB28C0">
            <w:pPr>
              <w:rPr>
                <w:rFonts w:ascii="Garamond" w:hAnsi="Garamond"/>
              </w:rPr>
            </w:pPr>
          </w:p>
          <w:p w14:paraId="5F92CB68" w14:textId="1E2C0980" w:rsidR="00F7121F" w:rsidRPr="00CF6CCE" w:rsidRDefault="00F7121F" w:rsidP="00DB28C0">
            <w:p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Sessions 1 &amp; 2 will be taught by Professor Siobhan </w:t>
            </w:r>
            <w:proofErr w:type="spellStart"/>
            <w:r w:rsidRPr="00CF6CCE">
              <w:rPr>
                <w:rFonts w:ascii="Garamond" w:hAnsi="Garamond"/>
              </w:rPr>
              <w:t>Mullally</w:t>
            </w:r>
            <w:proofErr w:type="spellEnd"/>
            <w:r w:rsidRPr="00CF6CCE">
              <w:rPr>
                <w:rFonts w:ascii="Garamond" w:hAnsi="Garamond"/>
              </w:rPr>
              <w:t>. Sessions 3-8 will be taught by Pearce Clancy.</w:t>
            </w:r>
          </w:p>
        </w:tc>
      </w:tr>
      <w:tr w:rsidR="0046656C" w:rsidRPr="00CF6CCE" w14:paraId="20C3C318" w14:textId="77777777" w:rsidTr="00850B73">
        <w:trPr>
          <w:trHeight w:val="133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88818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ind w:left="1440" w:right="84" w:hanging="14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9C14E" w14:textId="77777777" w:rsidR="003C6EFF" w:rsidRPr="00CF6CCE" w:rsidRDefault="003C6EFF" w:rsidP="00331266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right="85"/>
              <w:rPr>
                <w:rFonts w:ascii="Garamond" w:hAnsi="Garamond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BD35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right="85"/>
              <w:rPr>
                <w:rFonts w:ascii="Garamond" w:hAnsi="Garamond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54FF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right="85"/>
              <w:rPr>
                <w:rFonts w:ascii="Garamond" w:hAnsi="Garamond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5A40F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right="85"/>
              <w:rPr>
                <w:rFonts w:ascii="Garamond" w:hAnsi="Garamond"/>
              </w:rPr>
            </w:pPr>
          </w:p>
        </w:tc>
      </w:tr>
      <w:tr w:rsidR="0046656C" w:rsidRPr="00CF6CCE" w14:paraId="2B6861ED" w14:textId="77777777" w:rsidTr="00331266">
        <w:trPr>
          <w:trHeight w:val="13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24B69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ind w:left="1440" w:right="84" w:hanging="14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3C0FB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right="85" w:hanging="1440"/>
              <w:rPr>
                <w:rFonts w:ascii="Garamond" w:hAnsi="Garamond"/>
              </w:rPr>
            </w:pPr>
          </w:p>
        </w:tc>
        <w:tc>
          <w:tcPr>
            <w:tcW w:w="3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1BC0" w14:textId="77777777" w:rsidR="003C6EFF" w:rsidRPr="00CF6CCE" w:rsidRDefault="003C6EFF" w:rsidP="00F46CC9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right="85" w:hanging="1440"/>
              <w:rPr>
                <w:rFonts w:ascii="Garamond" w:hAnsi="Garamond"/>
              </w:rPr>
            </w:pPr>
          </w:p>
        </w:tc>
      </w:tr>
      <w:tr w:rsidR="0046656C" w:rsidRPr="00CF6CCE" w14:paraId="0EA19FC8" w14:textId="77777777" w:rsidTr="00850B73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19E62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Overall Learning Outcomes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4E9" w14:textId="77777777" w:rsidR="003C6EFF" w:rsidRPr="00CF6CCE" w:rsidRDefault="003C6EFF" w:rsidP="00F46CC9">
            <w:pPr>
              <w:tabs>
                <w:tab w:val="right" w:pos="-720"/>
                <w:tab w:val="left" w:pos="0"/>
                <w:tab w:val="num" w:pos="1080"/>
                <w:tab w:val="left" w:pos="3616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Upon co</w:t>
            </w:r>
            <w:r w:rsidR="008B14A6" w:rsidRPr="00CF6CCE">
              <w:rPr>
                <w:rFonts w:ascii="Garamond" w:hAnsi="Garamond"/>
              </w:rPr>
              <w:t xml:space="preserve">mpletion of this </w:t>
            </w:r>
            <w:proofErr w:type="gramStart"/>
            <w:r w:rsidR="008B14A6" w:rsidRPr="00CF6CCE">
              <w:rPr>
                <w:rFonts w:ascii="Garamond" w:hAnsi="Garamond"/>
              </w:rPr>
              <w:t>course</w:t>
            </w:r>
            <w:proofErr w:type="gramEnd"/>
            <w:r w:rsidR="008B14A6" w:rsidRPr="00CF6CCE">
              <w:rPr>
                <w:rFonts w:ascii="Garamond" w:hAnsi="Garamond"/>
              </w:rPr>
              <w:t xml:space="preserve"> you should</w:t>
            </w:r>
            <w:r w:rsidRPr="00CF6CCE">
              <w:rPr>
                <w:rFonts w:ascii="Garamond" w:hAnsi="Garamond"/>
              </w:rPr>
              <w:t xml:space="preserve"> be able to: </w:t>
            </w:r>
          </w:p>
          <w:p w14:paraId="6B1E6B00" w14:textId="3521C3C2" w:rsidR="00C90B31" w:rsidRPr="00CF6CCE" w:rsidRDefault="00C90B31" w:rsidP="004A355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Explain how PIL has developed since the 16</w:t>
            </w:r>
            <w:r w:rsidRPr="00CF6CCE">
              <w:rPr>
                <w:rFonts w:ascii="Garamond" w:hAnsi="Garamond"/>
                <w:vertAlign w:val="superscript"/>
              </w:rPr>
              <w:t>th</w:t>
            </w:r>
            <w:r w:rsidRPr="00CF6CCE">
              <w:rPr>
                <w:rFonts w:ascii="Garamond" w:hAnsi="Garamond"/>
              </w:rPr>
              <w:t xml:space="preserve"> C. and the major influences on its </w:t>
            </w:r>
            <w:proofErr w:type="gramStart"/>
            <w:r w:rsidRPr="00CF6CCE">
              <w:rPr>
                <w:rFonts w:ascii="Garamond" w:hAnsi="Garamond"/>
              </w:rPr>
              <w:t>development</w:t>
            </w:r>
            <w:proofErr w:type="gramEnd"/>
          </w:p>
          <w:p w14:paraId="52B16A48" w14:textId="26BAE636" w:rsidR="004A3551" w:rsidRPr="00CF6CCE" w:rsidRDefault="004A3551" w:rsidP="004A355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Differentiate between the various subjects of </w:t>
            </w:r>
            <w:r w:rsidR="00C90B31" w:rsidRPr="00CF6CCE">
              <w:rPr>
                <w:rFonts w:ascii="Garamond" w:hAnsi="Garamond"/>
              </w:rPr>
              <w:t xml:space="preserve">PIL, including quasi </w:t>
            </w:r>
            <w:proofErr w:type="gramStart"/>
            <w:r w:rsidR="00C90B31" w:rsidRPr="00CF6CCE">
              <w:rPr>
                <w:rFonts w:ascii="Garamond" w:hAnsi="Garamond"/>
              </w:rPr>
              <w:t>subjects</w:t>
            </w:r>
            <w:proofErr w:type="gramEnd"/>
          </w:p>
          <w:p w14:paraId="4AA0AAF7" w14:textId="7757D838" w:rsidR="004A3551" w:rsidRPr="00CF6CCE" w:rsidRDefault="004A3551" w:rsidP="00C25E5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Research </w:t>
            </w:r>
            <w:r w:rsidR="00C90B31" w:rsidRPr="00CF6CCE">
              <w:rPr>
                <w:rFonts w:ascii="Garamond" w:hAnsi="Garamond"/>
              </w:rPr>
              <w:t xml:space="preserve">and evaluate </w:t>
            </w:r>
            <w:r w:rsidRPr="00CF6CCE">
              <w:rPr>
                <w:rFonts w:ascii="Garamond" w:hAnsi="Garamond"/>
              </w:rPr>
              <w:t xml:space="preserve">the various sources of </w:t>
            </w:r>
            <w:r w:rsidR="00C90B31" w:rsidRPr="00CF6CCE">
              <w:rPr>
                <w:rFonts w:ascii="Garamond" w:hAnsi="Garamond"/>
              </w:rPr>
              <w:t>PIL</w:t>
            </w:r>
            <w:r w:rsidRPr="00CF6CCE">
              <w:rPr>
                <w:rFonts w:ascii="Garamond" w:hAnsi="Garamond"/>
              </w:rPr>
              <w:t xml:space="preserve"> to identify what the law governing any particular issue </w:t>
            </w:r>
            <w:proofErr w:type="gramStart"/>
            <w:r w:rsidRPr="00CF6CCE">
              <w:rPr>
                <w:rFonts w:ascii="Garamond" w:hAnsi="Garamond"/>
              </w:rPr>
              <w:t>is</w:t>
            </w:r>
            <w:proofErr w:type="gramEnd"/>
          </w:p>
          <w:p w14:paraId="4D6E538A" w14:textId="1E572FA8" w:rsidR="00C90B31" w:rsidRPr="00CF6CCE" w:rsidRDefault="00C90B31" w:rsidP="004A355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Show how States navigate the rules of PIL in the interest of reciprocity, international comity or self </w:t>
            </w:r>
            <w:proofErr w:type="gramStart"/>
            <w:r w:rsidRPr="00CF6CCE">
              <w:rPr>
                <w:rFonts w:ascii="Garamond" w:hAnsi="Garamond"/>
              </w:rPr>
              <w:t>interest</w:t>
            </w:r>
            <w:proofErr w:type="gramEnd"/>
          </w:p>
          <w:p w14:paraId="0F216162" w14:textId="045D1F74" w:rsidR="008B14A6" w:rsidRPr="00CF6CCE" w:rsidRDefault="004A3551" w:rsidP="00C90B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Apply the norms of int’l law to real-world situations </w:t>
            </w:r>
          </w:p>
        </w:tc>
      </w:tr>
      <w:tr w:rsidR="0046656C" w:rsidRPr="00CF6CCE" w14:paraId="37AFBB2E" w14:textId="77777777" w:rsidTr="00850B73">
        <w:trPr>
          <w:trHeight w:val="766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B7174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</w:rPr>
            </w:pPr>
            <w:r w:rsidRPr="00CF6CCE">
              <w:rPr>
                <w:rFonts w:ascii="Garamond" w:hAnsi="Garamond"/>
                <w:b/>
              </w:rPr>
              <w:t>Format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904" w14:textId="5AFEB1A9" w:rsidR="003C6EFF" w:rsidRPr="00CF6CCE" w:rsidRDefault="00152003" w:rsidP="00B852F5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Each seminar lasts 3 hours, with a break. </w:t>
            </w:r>
            <w:r w:rsidR="00C15C20">
              <w:rPr>
                <w:rFonts w:ascii="Garamond" w:hAnsi="Garamond"/>
              </w:rPr>
              <w:t>Classes are in</w:t>
            </w:r>
            <w:r w:rsidR="00911A27">
              <w:rPr>
                <w:rFonts w:ascii="Garamond" w:hAnsi="Garamond"/>
              </w:rPr>
              <w:t>-</w:t>
            </w:r>
            <w:r w:rsidR="00C15C20">
              <w:rPr>
                <w:rFonts w:ascii="Garamond" w:hAnsi="Garamond"/>
              </w:rPr>
              <w:t>person and attendance is expected.</w:t>
            </w:r>
          </w:p>
        </w:tc>
      </w:tr>
      <w:tr w:rsidR="0046656C" w:rsidRPr="00CF6CCE" w14:paraId="19BCE9BC" w14:textId="77777777" w:rsidTr="00850B73">
        <w:trPr>
          <w:trHeight w:val="766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CAD8C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Programme(s)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BE5" w14:textId="1CF0EDBC" w:rsidR="003C6EFF" w:rsidRPr="00CF6CCE" w:rsidRDefault="00DB28C0" w:rsidP="00F46CC9">
            <w:pPr>
              <w:tabs>
                <w:tab w:val="left" w:pos="-720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LL.M</w:t>
            </w:r>
            <w:r w:rsidR="001E584F" w:rsidRPr="00CF6CCE">
              <w:rPr>
                <w:rFonts w:ascii="Garamond" w:hAnsi="Garamond"/>
              </w:rPr>
              <w:t xml:space="preserve"> </w:t>
            </w:r>
            <w:r w:rsidR="00C90B31" w:rsidRPr="00CF6CCE">
              <w:rPr>
                <w:rFonts w:ascii="Garamond" w:hAnsi="Garamond"/>
              </w:rPr>
              <w:t>Programmes in the ICHR and School of Law</w:t>
            </w:r>
          </w:p>
        </w:tc>
      </w:tr>
      <w:tr w:rsidR="0046656C" w:rsidRPr="00CF6CCE" w14:paraId="1F33BB48" w14:textId="77777777" w:rsidTr="00850B73">
        <w:trPr>
          <w:trHeight w:val="766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F8718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lastRenderedPageBreak/>
              <w:t>Course Material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D99" w14:textId="3DE98DFE" w:rsidR="003C6EFF" w:rsidRPr="00CF6CCE" w:rsidRDefault="00BC4FCA" w:rsidP="00F46CC9">
            <w:pPr>
              <w:tabs>
                <w:tab w:val="left" w:pos="-720"/>
              </w:tabs>
              <w:spacing w:before="60"/>
              <w:ind w:right="85"/>
              <w:rPr>
                <w:rStyle w:val="Hyperlink"/>
                <w:rFonts w:ascii="Garamond" w:hAnsi="Garamond"/>
                <w:color w:val="auto"/>
              </w:rPr>
            </w:pPr>
            <w:r w:rsidRPr="00CF6CCE">
              <w:rPr>
                <w:rFonts w:ascii="Garamond" w:hAnsi="Garamond"/>
              </w:rPr>
              <w:t>The course is available on the Blackboard learning management system:</w:t>
            </w:r>
            <w:r w:rsidR="003C6EFF" w:rsidRPr="00CF6CCE">
              <w:rPr>
                <w:rFonts w:ascii="Garamond" w:hAnsi="Garamond"/>
              </w:rPr>
              <w:t xml:space="preserve"> </w:t>
            </w:r>
            <w:hyperlink r:id="rId10" w:history="1">
              <w:r w:rsidR="003C6EFF" w:rsidRPr="00CF6CCE">
                <w:rPr>
                  <w:rStyle w:val="Hyperlink"/>
                  <w:rFonts w:ascii="Garamond" w:hAnsi="Garamond"/>
                  <w:color w:val="auto"/>
                </w:rPr>
                <w:t>http://blackboard.nuigalway.ie</w:t>
              </w:r>
            </w:hyperlink>
          </w:p>
          <w:p w14:paraId="18472905" w14:textId="37CA1167" w:rsidR="006D781A" w:rsidRPr="00CF6CCE" w:rsidRDefault="006D781A" w:rsidP="006D781A">
            <w:pPr>
              <w:spacing w:line="259" w:lineRule="auto"/>
              <w:rPr>
                <w:rFonts w:ascii="Garamond" w:hAnsi="Garamond"/>
              </w:rPr>
            </w:pPr>
          </w:p>
          <w:p w14:paraId="4F14B9EE" w14:textId="42F4E3EE" w:rsidR="00331266" w:rsidRPr="00CF6CCE" w:rsidRDefault="00331266" w:rsidP="006D781A">
            <w:pPr>
              <w:spacing w:line="259" w:lineRule="auto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All textbooks are available in the library, and all materials are available online via the library website and Google Scholar.</w:t>
            </w:r>
          </w:p>
          <w:p w14:paraId="7CFD5F08" w14:textId="77777777" w:rsidR="006D781A" w:rsidRPr="00CF6CCE" w:rsidRDefault="006D781A" w:rsidP="006D781A">
            <w:pPr>
              <w:spacing w:line="259" w:lineRule="auto"/>
              <w:rPr>
                <w:rFonts w:ascii="Garamond" w:hAnsi="Garamond"/>
              </w:rPr>
            </w:pPr>
          </w:p>
        </w:tc>
      </w:tr>
      <w:tr w:rsidR="0046656C" w:rsidRPr="00CF6CCE" w14:paraId="251B4824" w14:textId="77777777" w:rsidTr="00850B73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478EC" w14:textId="31C0EE98" w:rsidR="003C6EFF" w:rsidRPr="00CF6CCE" w:rsidRDefault="00653D4A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Textbook</w:t>
            </w:r>
            <w:r w:rsidR="00154224" w:rsidRPr="00CF6CCE">
              <w:rPr>
                <w:rFonts w:ascii="Garamond" w:hAnsi="Garamond"/>
                <w:b/>
              </w:rPr>
              <w:t>s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763" w14:textId="77777777" w:rsidR="00C50782" w:rsidRDefault="00C50782" w:rsidP="00C50782">
            <w:pPr>
              <w:pStyle w:val="ListParagraph"/>
              <w:rPr>
                <w:rFonts w:ascii="Garamond" w:hAnsi="Garamond"/>
                <w:lang w:val="en-IE"/>
              </w:rPr>
            </w:pPr>
          </w:p>
          <w:p w14:paraId="0DF159BE" w14:textId="34BA754F" w:rsidR="00331266" w:rsidRPr="00CF6CCE" w:rsidRDefault="00331266" w:rsidP="0033126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lang w:val="en-IE"/>
              </w:rPr>
            </w:pPr>
            <w:r w:rsidRPr="00CF6CCE">
              <w:rPr>
                <w:rFonts w:ascii="Garamond" w:hAnsi="Garamond"/>
                <w:lang w:val="en-IE"/>
              </w:rPr>
              <w:t xml:space="preserve">Paola Gaeta, Jorge E. Viñuales, and Salvatore </w:t>
            </w:r>
            <w:proofErr w:type="spellStart"/>
            <w:r w:rsidRPr="00CF6CCE">
              <w:rPr>
                <w:rFonts w:ascii="Garamond" w:hAnsi="Garamond"/>
                <w:lang w:val="en-IE"/>
              </w:rPr>
              <w:t>Zappalá</w:t>
            </w:r>
            <w:proofErr w:type="spellEnd"/>
            <w:r w:rsidRPr="00CF6CCE">
              <w:rPr>
                <w:rFonts w:ascii="Garamond" w:hAnsi="Garamond"/>
                <w:lang w:val="en-IE"/>
              </w:rPr>
              <w:t xml:space="preserve">, </w:t>
            </w:r>
            <w:r w:rsidRPr="00CF6CCE">
              <w:rPr>
                <w:rFonts w:ascii="Garamond" w:hAnsi="Garamond"/>
                <w:i/>
                <w:iCs/>
                <w:lang w:val="en-IE"/>
              </w:rPr>
              <w:t xml:space="preserve">Cassese’s International Law </w:t>
            </w:r>
            <w:r w:rsidRPr="00CF6CCE">
              <w:rPr>
                <w:rFonts w:ascii="Garamond" w:hAnsi="Garamond"/>
                <w:lang w:val="en-IE"/>
              </w:rPr>
              <w:t>(3</w:t>
            </w:r>
            <w:r w:rsidRPr="00CF6CCE">
              <w:rPr>
                <w:rFonts w:ascii="Garamond" w:hAnsi="Garamond"/>
                <w:vertAlign w:val="superscript"/>
                <w:lang w:val="en-IE"/>
              </w:rPr>
              <w:t>rd</w:t>
            </w:r>
            <w:r w:rsidRPr="00CF6CCE">
              <w:rPr>
                <w:rFonts w:ascii="Garamond" w:hAnsi="Garamond"/>
                <w:lang w:val="en-IE"/>
              </w:rPr>
              <w:t xml:space="preserve"> </w:t>
            </w:r>
            <w:proofErr w:type="spellStart"/>
            <w:r w:rsidRPr="00CF6CCE">
              <w:rPr>
                <w:rFonts w:ascii="Garamond" w:hAnsi="Garamond"/>
                <w:lang w:val="en-IE"/>
              </w:rPr>
              <w:t>edn</w:t>
            </w:r>
            <w:proofErr w:type="spellEnd"/>
            <w:r w:rsidRPr="00CF6CCE">
              <w:rPr>
                <w:rFonts w:ascii="Garamond" w:hAnsi="Garamond"/>
                <w:lang w:val="en-IE"/>
              </w:rPr>
              <w:t>, Oxford University Press, 2020).</w:t>
            </w:r>
          </w:p>
          <w:p w14:paraId="1B410DA7" w14:textId="77777777" w:rsidR="00331266" w:rsidRPr="00CF6CCE" w:rsidRDefault="00331266" w:rsidP="00331266">
            <w:pPr>
              <w:rPr>
                <w:rFonts w:ascii="Garamond" w:hAnsi="Garamond"/>
                <w:lang w:val="en-IE"/>
              </w:rPr>
            </w:pPr>
          </w:p>
          <w:p w14:paraId="30AA88A4" w14:textId="2ABD82FA" w:rsidR="00331266" w:rsidRPr="00CF6CCE" w:rsidRDefault="00331266" w:rsidP="0033126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lang w:val="en-IE"/>
              </w:rPr>
            </w:pPr>
            <w:r w:rsidRPr="00CF6CCE">
              <w:rPr>
                <w:rFonts w:ascii="Garamond" w:hAnsi="Garamond"/>
                <w:lang w:val="en-IE"/>
              </w:rPr>
              <w:t xml:space="preserve">James Crawford, </w:t>
            </w:r>
            <w:proofErr w:type="spellStart"/>
            <w:r w:rsidRPr="00CF6CCE">
              <w:rPr>
                <w:rFonts w:ascii="Garamond" w:hAnsi="Garamond"/>
                <w:i/>
                <w:iCs/>
                <w:lang w:val="en-IE"/>
              </w:rPr>
              <w:t>Brownlie’s</w:t>
            </w:r>
            <w:proofErr w:type="spellEnd"/>
            <w:r w:rsidRPr="00CF6CCE">
              <w:rPr>
                <w:rFonts w:ascii="Garamond" w:hAnsi="Garamond"/>
                <w:i/>
                <w:iCs/>
                <w:lang w:val="en-IE"/>
              </w:rPr>
              <w:t xml:space="preserve"> Principles of Public International Law </w:t>
            </w:r>
            <w:r w:rsidRPr="00CF6CCE">
              <w:rPr>
                <w:rFonts w:ascii="Garamond" w:hAnsi="Garamond"/>
                <w:lang w:val="en-IE"/>
              </w:rPr>
              <w:t>(9</w:t>
            </w:r>
            <w:r w:rsidRPr="00CF6CCE">
              <w:rPr>
                <w:rFonts w:ascii="Garamond" w:hAnsi="Garamond"/>
                <w:vertAlign w:val="superscript"/>
                <w:lang w:val="en-IE"/>
              </w:rPr>
              <w:t>th</w:t>
            </w:r>
            <w:r w:rsidRPr="00CF6CCE">
              <w:rPr>
                <w:rFonts w:ascii="Garamond" w:hAnsi="Garamond"/>
                <w:lang w:val="en-IE"/>
              </w:rPr>
              <w:t xml:space="preserve"> </w:t>
            </w:r>
            <w:proofErr w:type="spellStart"/>
            <w:r w:rsidRPr="00CF6CCE">
              <w:rPr>
                <w:rFonts w:ascii="Garamond" w:hAnsi="Garamond"/>
                <w:lang w:val="en-IE"/>
              </w:rPr>
              <w:t>edn</w:t>
            </w:r>
            <w:proofErr w:type="spellEnd"/>
            <w:r w:rsidRPr="00CF6CCE">
              <w:rPr>
                <w:rFonts w:ascii="Garamond" w:hAnsi="Garamond"/>
                <w:lang w:val="en-IE"/>
              </w:rPr>
              <w:t>, Oxford University Press, 2019).</w:t>
            </w:r>
          </w:p>
          <w:p w14:paraId="0B673E24" w14:textId="77777777" w:rsidR="00331266" w:rsidRPr="00CF6CCE" w:rsidRDefault="00331266" w:rsidP="00F46CC9">
            <w:pPr>
              <w:rPr>
                <w:rFonts w:ascii="Garamond" w:hAnsi="Garamond"/>
              </w:rPr>
            </w:pPr>
          </w:p>
          <w:p w14:paraId="0206AE9F" w14:textId="77777777" w:rsidR="00331266" w:rsidRPr="00CF6CCE" w:rsidRDefault="004A3551" w:rsidP="0033126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Malcolm Shaw, </w:t>
            </w:r>
            <w:r w:rsidRPr="00CF6CCE">
              <w:rPr>
                <w:rFonts w:ascii="Garamond" w:hAnsi="Garamond"/>
                <w:i/>
              </w:rPr>
              <w:t>International Law</w:t>
            </w:r>
            <w:r w:rsidRPr="00CF6CCE">
              <w:rPr>
                <w:rFonts w:ascii="Garamond" w:hAnsi="Garamond"/>
              </w:rPr>
              <w:t xml:space="preserve"> </w:t>
            </w:r>
            <w:r w:rsidR="00331266" w:rsidRPr="00CF6CCE">
              <w:rPr>
                <w:rFonts w:ascii="Garamond" w:hAnsi="Garamond"/>
              </w:rPr>
              <w:t>(</w:t>
            </w:r>
            <w:r w:rsidRPr="00CF6CCE">
              <w:rPr>
                <w:rFonts w:ascii="Garamond" w:hAnsi="Garamond"/>
              </w:rPr>
              <w:t>8</w:t>
            </w:r>
            <w:r w:rsidR="00331266" w:rsidRPr="00CF6CCE">
              <w:rPr>
                <w:rFonts w:ascii="Garamond" w:hAnsi="Garamond"/>
                <w:vertAlign w:val="superscript"/>
              </w:rPr>
              <w:t>th</w:t>
            </w:r>
            <w:r w:rsidR="00331266" w:rsidRPr="00CF6CCE">
              <w:rPr>
                <w:rFonts w:ascii="Garamond" w:hAnsi="Garamond"/>
              </w:rPr>
              <w:t xml:space="preserve"> e</w:t>
            </w:r>
            <w:proofErr w:type="spellStart"/>
            <w:r w:rsidR="00331266" w:rsidRPr="00CF6CCE">
              <w:rPr>
                <w:rFonts w:ascii="Garamond" w:hAnsi="Garamond"/>
              </w:rPr>
              <w:t>dn</w:t>
            </w:r>
            <w:proofErr w:type="spellEnd"/>
            <w:r w:rsidR="00331266" w:rsidRPr="00CF6CCE">
              <w:rPr>
                <w:rFonts w:ascii="Garamond" w:hAnsi="Garamond"/>
              </w:rPr>
              <w:t xml:space="preserve">, </w:t>
            </w:r>
            <w:r w:rsidRPr="00CF6CCE">
              <w:rPr>
                <w:rFonts w:ascii="Garamond" w:hAnsi="Garamond"/>
              </w:rPr>
              <w:t>Cambridge University Press, 2017</w:t>
            </w:r>
            <w:r w:rsidR="00331266" w:rsidRPr="00CF6CCE">
              <w:rPr>
                <w:rFonts w:ascii="Garamond" w:hAnsi="Garamond"/>
              </w:rPr>
              <w:t>)</w:t>
            </w:r>
            <w:r w:rsidRPr="00CF6CCE">
              <w:rPr>
                <w:rFonts w:ascii="Garamond" w:hAnsi="Garamond"/>
              </w:rPr>
              <w:t>.</w:t>
            </w:r>
          </w:p>
          <w:p w14:paraId="5565B25F" w14:textId="77777777" w:rsidR="00331266" w:rsidRPr="00CF6CCE" w:rsidRDefault="00331266" w:rsidP="00331266">
            <w:pPr>
              <w:pStyle w:val="ListParagraph"/>
              <w:rPr>
                <w:rFonts w:ascii="Garamond" w:hAnsi="Garamond"/>
              </w:rPr>
            </w:pPr>
          </w:p>
          <w:p w14:paraId="7DBE1107" w14:textId="18D443A5" w:rsidR="00331266" w:rsidRDefault="00331266" w:rsidP="00331266">
            <w:pPr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Generally</w:t>
            </w:r>
            <w:r w:rsidR="00CF6CCE">
              <w:rPr>
                <w:rFonts w:ascii="Garamond" w:hAnsi="Garamond"/>
              </w:rPr>
              <w:t>,</w:t>
            </w:r>
            <w:r w:rsidRPr="00CF6CCE">
              <w:rPr>
                <w:rFonts w:ascii="Garamond" w:hAnsi="Garamond"/>
              </w:rPr>
              <w:t xml:space="preserve"> it is only necessary to </w:t>
            </w:r>
            <w:r w:rsidR="00437BE5" w:rsidRPr="00CF6CCE">
              <w:rPr>
                <w:rFonts w:ascii="Garamond" w:hAnsi="Garamond"/>
              </w:rPr>
              <w:t xml:space="preserve">read from one of the above textbooks, however on some topics one might have more information than the others. </w:t>
            </w:r>
            <w:r w:rsidR="00B23A58" w:rsidRPr="00CF6CCE">
              <w:rPr>
                <w:rFonts w:ascii="Garamond" w:hAnsi="Garamond"/>
              </w:rPr>
              <w:t xml:space="preserve">Previous editions of all three are also available </w:t>
            </w:r>
            <w:r w:rsidR="00154224" w:rsidRPr="00CF6CCE">
              <w:rPr>
                <w:rFonts w:ascii="Garamond" w:hAnsi="Garamond"/>
              </w:rPr>
              <w:t>in the library—if the most up to date edition is unavailable these will suffice.</w:t>
            </w:r>
          </w:p>
          <w:p w14:paraId="36C6B142" w14:textId="77777777" w:rsidR="00CF6CCE" w:rsidRDefault="00CF6CCE" w:rsidP="00331266">
            <w:pPr>
              <w:rPr>
                <w:rFonts w:ascii="Garamond" w:hAnsi="Garamond"/>
              </w:rPr>
            </w:pPr>
          </w:p>
          <w:p w14:paraId="1592156F" w14:textId="334F1F69" w:rsidR="00CF6CCE" w:rsidRPr="00CF6CCE" w:rsidRDefault="00CF6CCE" w:rsidP="003312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Further reading is included for each session below.</w:t>
            </w:r>
          </w:p>
          <w:p w14:paraId="26BFBF51" w14:textId="1A146930" w:rsidR="00331266" w:rsidRPr="00CF6CCE" w:rsidRDefault="00331266" w:rsidP="00331266">
            <w:pPr>
              <w:rPr>
                <w:rFonts w:ascii="Garamond" w:hAnsi="Garamond"/>
              </w:rPr>
            </w:pPr>
          </w:p>
        </w:tc>
      </w:tr>
      <w:tr w:rsidR="0046656C" w:rsidRPr="00CF6CCE" w14:paraId="052BA299" w14:textId="77777777" w:rsidTr="00850B73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E7FEF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4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Assessment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ADD" w14:textId="77777777" w:rsidR="00154224" w:rsidRPr="00CF6CCE" w:rsidRDefault="00154224" w:rsidP="00154224">
            <w:pPr>
              <w:tabs>
                <w:tab w:val="left" w:pos="-720"/>
                <w:tab w:val="left" w:pos="0"/>
                <w:tab w:val="num" w:pos="1080"/>
              </w:tabs>
              <w:spacing w:before="60"/>
              <w:ind w:right="85"/>
              <w:rPr>
                <w:rFonts w:ascii="Garamond" w:hAnsi="Garamond"/>
              </w:rPr>
            </w:pPr>
          </w:p>
          <w:p w14:paraId="400AA822" w14:textId="7C96A2C2" w:rsidR="003C6EFF" w:rsidRPr="00CF6CCE" w:rsidRDefault="00B75C06" w:rsidP="00154224">
            <w:pPr>
              <w:tabs>
                <w:tab w:val="left" w:pos="-720"/>
                <w:tab w:val="left" w:pos="0"/>
                <w:tab w:val="num" w:pos="1080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>This course is assessed by</w:t>
            </w:r>
            <w:r w:rsidR="00154224" w:rsidRPr="00CF6CCE">
              <w:rPr>
                <w:rFonts w:ascii="Garamond" w:hAnsi="Garamond"/>
              </w:rPr>
              <w:t xml:space="preserve"> a </w:t>
            </w:r>
            <w:r w:rsidR="00C15C20" w:rsidRPr="00CF6CCE">
              <w:rPr>
                <w:rFonts w:ascii="Garamond" w:hAnsi="Garamond"/>
              </w:rPr>
              <w:t>5,000-word</w:t>
            </w:r>
            <w:r w:rsidR="00154224" w:rsidRPr="00CF6CCE">
              <w:rPr>
                <w:rFonts w:ascii="Garamond" w:hAnsi="Garamond"/>
              </w:rPr>
              <w:t xml:space="preserve"> essay (</w:t>
            </w:r>
            <w:r w:rsidR="00CF6CCE">
              <w:rPr>
                <w:rFonts w:ascii="Garamond" w:hAnsi="Garamond"/>
              </w:rPr>
              <w:t>including</w:t>
            </w:r>
            <w:r w:rsidR="00154224" w:rsidRPr="00CF6CCE">
              <w:rPr>
                <w:rFonts w:ascii="Garamond" w:hAnsi="Garamond"/>
              </w:rPr>
              <w:t xml:space="preserve"> footnotes</w:t>
            </w:r>
            <w:r w:rsidR="00CF6CCE">
              <w:rPr>
                <w:rFonts w:ascii="Garamond" w:hAnsi="Garamond"/>
              </w:rPr>
              <w:t>, excluding table of contents and bibliography</w:t>
            </w:r>
            <w:r w:rsidR="00154224" w:rsidRPr="00CF6CCE">
              <w:rPr>
                <w:rFonts w:ascii="Garamond" w:hAnsi="Garamond"/>
              </w:rPr>
              <w:t>) on a topic to be agreed with the teaching team.</w:t>
            </w:r>
            <w:r w:rsidR="00CF6CCE">
              <w:rPr>
                <w:rFonts w:ascii="Garamond" w:hAnsi="Garamond"/>
              </w:rPr>
              <w:t xml:space="preserve"> </w:t>
            </w:r>
            <w:r w:rsidR="00CF6CCE" w:rsidRPr="00CF6CCE">
              <w:rPr>
                <w:rFonts w:ascii="Garamond" w:hAnsi="Garamond"/>
                <w:lang w:val="en-IE"/>
              </w:rPr>
              <w:t>Essays should demonstrate significant research, familiarity with the literature, independent thought, and critical analysis.</w:t>
            </w:r>
          </w:p>
          <w:p w14:paraId="17D944A8" w14:textId="6E2CAF0F" w:rsidR="00154224" w:rsidRPr="00CF6CCE" w:rsidRDefault="00154224" w:rsidP="00154224">
            <w:pPr>
              <w:tabs>
                <w:tab w:val="left" w:pos="-720"/>
                <w:tab w:val="left" w:pos="0"/>
                <w:tab w:val="num" w:pos="1080"/>
              </w:tabs>
              <w:spacing w:before="60"/>
              <w:ind w:right="85"/>
              <w:rPr>
                <w:rFonts w:ascii="Garamond" w:hAnsi="Garamond"/>
              </w:rPr>
            </w:pPr>
          </w:p>
        </w:tc>
      </w:tr>
      <w:tr w:rsidR="0046656C" w:rsidRPr="00CF6CCE" w14:paraId="337F75A9" w14:textId="77777777" w:rsidTr="00850B73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97895" w14:textId="77777777" w:rsidR="003C6EFF" w:rsidRPr="00CF6CCE" w:rsidRDefault="003C6EFF" w:rsidP="00F46CC9">
            <w:pPr>
              <w:tabs>
                <w:tab w:val="left" w:pos="-720"/>
              </w:tabs>
              <w:spacing w:before="100" w:beforeAutospacing="1"/>
              <w:ind w:right="85"/>
              <w:jc w:val="center"/>
              <w:rPr>
                <w:rFonts w:ascii="Garamond" w:hAnsi="Garamond"/>
                <w:b/>
              </w:rPr>
            </w:pPr>
            <w:r w:rsidRPr="00CF6CCE">
              <w:rPr>
                <w:rFonts w:ascii="Garamond" w:hAnsi="Garamond"/>
                <w:b/>
              </w:rPr>
              <w:t>Workload hours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344" w14:textId="77777777" w:rsidR="00154224" w:rsidRPr="00CF6CCE" w:rsidRDefault="00154224" w:rsidP="00F46CC9">
            <w:pPr>
              <w:tabs>
                <w:tab w:val="right" w:pos="-720"/>
                <w:tab w:val="left" w:pos="0"/>
                <w:tab w:val="num" w:pos="1080"/>
                <w:tab w:val="left" w:pos="3616"/>
              </w:tabs>
              <w:spacing w:before="60"/>
              <w:ind w:right="85"/>
              <w:rPr>
                <w:rFonts w:ascii="Garamond" w:hAnsi="Garamond"/>
              </w:rPr>
            </w:pPr>
          </w:p>
          <w:p w14:paraId="673D9855" w14:textId="399E7848" w:rsidR="003C6EFF" w:rsidRPr="00CF6CCE" w:rsidRDefault="00E87F60" w:rsidP="00F46CC9">
            <w:pPr>
              <w:tabs>
                <w:tab w:val="right" w:pos="-720"/>
                <w:tab w:val="left" w:pos="0"/>
                <w:tab w:val="num" w:pos="1080"/>
                <w:tab w:val="left" w:pos="3616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Credit weighting: </w:t>
            </w:r>
            <w:r w:rsidR="0000349B" w:rsidRPr="00CF6CCE">
              <w:rPr>
                <w:rFonts w:ascii="Garamond" w:hAnsi="Garamond"/>
              </w:rPr>
              <w:t>10</w:t>
            </w:r>
            <w:r w:rsidR="003C6EFF" w:rsidRPr="00CF6CCE">
              <w:rPr>
                <w:rFonts w:ascii="Garamond" w:hAnsi="Garamond"/>
              </w:rPr>
              <w:t xml:space="preserve"> ECT </w:t>
            </w:r>
          </w:p>
          <w:p w14:paraId="27350F73" w14:textId="77777777" w:rsidR="003C6EFF" w:rsidRPr="00CF6CCE" w:rsidRDefault="00E87F60" w:rsidP="00F46CC9">
            <w:pPr>
              <w:tabs>
                <w:tab w:val="right" w:pos="-720"/>
                <w:tab w:val="left" w:pos="0"/>
                <w:tab w:val="num" w:pos="1080"/>
                <w:tab w:val="left" w:pos="3616"/>
              </w:tabs>
              <w:spacing w:before="60"/>
              <w:ind w:right="85"/>
              <w:rPr>
                <w:rFonts w:ascii="Garamond" w:hAnsi="Garamond"/>
              </w:rPr>
            </w:pPr>
            <w:r w:rsidRPr="00CF6CCE">
              <w:rPr>
                <w:rFonts w:ascii="Garamond" w:hAnsi="Garamond"/>
              </w:rPr>
              <w:t xml:space="preserve">Total Student Effort: </w:t>
            </w:r>
            <w:r w:rsidR="0000349B" w:rsidRPr="00CF6CCE">
              <w:rPr>
                <w:rFonts w:ascii="Garamond" w:hAnsi="Garamond"/>
              </w:rPr>
              <w:t>250</w:t>
            </w:r>
            <w:r w:rsidR="003C6EFF" w:rsidRPr="00CF6CCE">
              <w:rPr>
                <w:rFonts w:ascii="Garamond" w:hAnsi="Garamond"/>
              </w:rPr>
              <w:t xml:space="preserve"> </w:t>
            </w:r>
            <w:r w:rsidRPr="00CF6CCE">
              <w:rPr>
                <w:rFonts w:ascii="Garamond" w:hAnsi="Garamond"/>
              </w:rPr>
              <w:t xml:space="preserve">hours </w:t>
            </w:r>
            <w:r w:rsidR="0000349B" w:rsidRPr="00CF6CCE">
              <w:rPr>
                <w:rFonts w:ascii="Garamond" w:hAnsi="Garamond"/>
              </w:rPr>
              <w:t>for 10</w:t>
            </w:r>
            <w:r w:rsidR="003C6EFF" w:rsidRPr="00CF6CCE">
              <w:rPr>
                <w:rFonts w:ascii="Garamond" w:hAnsi="Garamond"/>
              </w:rPr>
              <w:t xml:space="preserve"> ECT</w:t>
            </w:r>
          </w:p>
          <w:p w14:paraId="4109E413" w14:textId="77777777" w:rsidR="00154224" w:rsidRPr="00CF6CCE" w:rsidRDefault="00154224" w:rsidP="00F46CC9">
            <w:pPr>
              <w:tabs>
                <w:tab w:val="right" w:pos="-720"/>
                <w:tab w:val="left" w:pos="0"/>
                <w:tab w:val="num" w:pos="1080"/>
                <w:tab w:val="left" w:pos="3616"/>
              </w:tabs>
              <w:spacing w:before="60"/>
              <w:ind w:right="85"/>
              <w:rPr>
                <w:rFonts w:ascii="Garamond" w:hAnsi="Garamond"/>
              </w:rPr>
            </w:pPr>
          </w:p>
        </w:tc>
      </w:tr>
      <w:bookmarkEnd w:id="0"/>
    </w:tbl>
    <w:p w14:paraId="3BD1962F" w14:textId="77777777" w:rsidR="003C6EFF" w:rsidRPr="00CF6CCE" w:rsidRDefault="003C6EFF" w:rsidP="00F46CC9">
      <w:pPr>
        <w:pStyle w:val="Heading2"/>
        <w:jc w:val="left"/>
        <w:rPr>
          <w:rFonts w:ascii="Garamond" w:hAnsi="Garamond"/>
        </w:rPr>
      </w:pPr>
    </w:p>
    <w:p w14:paraId="727B4EFB" w14:textId="77777777" w:rsidR="003C6EFF" w:rsidRPr="00CF6CCE" w:rsidRDefault="003C6EFF" w:rsidP="00F46CC9">
      <w:pPr>
        <w:pStyle w:val="Heading2"/>
        <w:jc w:val="left"/>
        <w:rPr>
          <w:rFonts w:ascii="Garamond" w:hAnsi="Garamond"/>
        </w:rPr>
      </w:pPr>
      <w:r w:rsidRPr="00CF6CCE">
        <w:rPr>
          <w:rFonts w:ascii="Garamond" w:hAnsi="Garamond"/>
        </w:rPr>
        <w:br w:type="page"/>
      </w:r>
    </w:p>
    <w:p w14:paraId="7F91DF14" w14:textId="77777777" w:rsidR="003C6EFF" w:rsidRPr="00CF6CCE" w:rsidRDefault="003C6EFF" w:rsidP="00F46CC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left"/>
        <w:rPr>
          <w:rFonts w:ascii="Garamond" w:hAnsi="Garamond"/>
        </w:rPr>
      </w:pPr>
      <w:r w:rsidRPr="00CF6CCE">
        <w:rPr>
          <w:rFonts w:ascii="Garamond" w:hAnsi="Garamond"/>
        </w:rPr>
        <w:lastRenderedPageBreak/>
        <w:t xml:space="preserve">Topics covered in </w:t>
      </w:r>
      <w:proofErr w:type="gramStart"/>
      <w:r w:rsidRPr="00CF6CCE">
        <w:rPr>
          <w:rFonts w:ascii="Garamond" w:hAnsi="Garamond"/>
        </w:rPr>
        <w:t>module</w:t>
      </w:r>
      <w:proofErr w:type="gramEnd"/>
    </w:p>
    <w:p w14:paraId="158C7838" w14:textId="5D8E8626" w:rsidR="00022973" w:rsidRPr="00CF6CCE" w:rsidRDefault="00022973" w:rsidP="00DB28C0">
      <w:pPr>
        <w:spacing w:line="276" w:lineRule="auto"/>
        <w:rPr>
          <w:rFonts w:ascii="Garamond" w:hAnsi="Garamond"/>
          <w:u w:val="single"/>
        </w:rPr>
      </w:pPr>
    </w:p>
    <w:p w14:paraId="6EEC17B1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History and Subjects of Public International Law</w:t>
      </w:r>
    </w:p>
    <w:p w14:paraId="7255E000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637F6632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Chapter 2, pp. 79-91, 140-177.</w:t>
      </w:r>
    </w:p>
    <w:p w14:paraId="2980724B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 xml:space="preserve">, pp. 3-6, Chapter 4. For more detail on states and international organisations </w:t>
      </w:r>
      <w:r w:rsidRPr="00CF6CCE">
        <w:rPr>
          <w:rFonts w:ascii="Garamond" w:hAnsi="Garamond"/>
          <w:i/>
          <w:iCs/>
        </w:rPr>
        <w:t xml:space="preserve">see </w:t>
      </w:r>
      <w:r w:rsidRPr="00CF6CCE">
        <w:rPr>
          <w:rFonts w:ascii="Garamond" w:hAnsi="Garamond"/>
        </w:rPr>
        <w:t>Chapters 5-7.</w:t>
      </w:r>
    </w:p>
    <w:p w14:paraId="3FAD70D3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pp. 10-31, Chapter 5.</w:t>
      </w:r>
    </w:p>
    <w:p w14:paraId="7BCE36B9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</w:p>
    <w:p w14:paraId="311662E0" w14:textId="0B90F876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42DBF508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  <w:b/>
          <w:bCs/>
        </w:rPr>
      </w:pPr>
      <w:proofErr w:type="spellStart"/>
      <w:r w:rsidRPr="00CF6CCE">
        <w:rPr>
          <w:rFonts w:ascii="Garamond" w:hAnsi="Garamond"/>
        </w:rPr>
        <w:t>Martti</w:t>
      </w:r>
      <w:proofErr w:type="spellEnd"/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Koskenniemi</w:t>
      </w:r>
      <w:proofErr w:type="spellEnd"/>
      <w:r w:rsidRPr="00CF6CCE">
        <w:rPr>
          <w:rFonts w:ascii="Garamond" w:hAnsi="Garamond"/>
        </w:rPr>
        <w:t xml:space="preserve">, ‘History of International Law, since World War II’, </w:t>
      </w:r>
      <w:r w:rsidRPr="00CF6CCE">
        <w:rPr>
          <w:rFonts w:ascii="Garamond" w:hAnsi="Garamond"/>
          <w:i/>
          <w:iCs/>
        </w:rPr>
        <w:t>Max Planck Encyclopaedia of International Law</w:t>
      </w:r>
      <w:r w:rsidRPr="00CF6CCE">
        <w:rPr>
          <w:rFonts w:ascii="Garamond" w:hAnsi="Garamond"/>
        </w:rPr>
        <w:t xml:space="preserve">, available at: </w:t>
      </w:r>
      <w:hyperlink r:id="rId11" w:history="1">
        <w:r w:rsidRPr="00CF6CCE">
          <w:rPr>
            <w:rStyle w:val="Hyperlink"/>
            <w:rFonts w:ascii="Garamond" w:hAnsi="Garamond"/>
          </w:rPr>
          <w:t>https://opil.ouplaw.com/display/10.1093/law:epil/9780199231690/law-9780199231690-e714</w:t>
        </w:r>
      </w:hyperlink>
      <w:r w:rsidRPr="00CF6CCE">
        <w:rPr>
          <w:rFonts w:ascii="Garamond" w:hAnsi="Garamond"/>
        </w:rPr>
        <w:t xml:space="preserve">. </w:t>
      </w:r>
    </w:p>
    <w:p w14:paraId="0B53FC9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Christian Walter, ‘Subjects of International Law’, </w:t>
      </w:r>
      <w:r w:rsidRPr="00CF6CCE">
        <w:rPr>
          <w:rFonts w:ascii="Garamond" w:hAnsi="Garamond"/>
          <w:i/>
          <w:iCs/>
        </w:rPr>
        <w:t>Max Planck Encyclopaedia of International Law</w:t>
      </w:r>
      <w:r w:rsidRPr="00CF6CCE">
        <w:rPr>
          <w:rFonts w:ascii="Garamond" w:hAnsi="Garamond"/>
        </w:rPr>
        <w:t xml:space="preserve">, available at: </w:t>
      </w:r>
      <w:hyperlink r:id="rId12" w:history="1">
        <w:r w:rsidRPr="00CF6CCE">
          <w:rPr>
            <w:rStyle w:val="Hyperlink"/>
            <w:rFonts w:ascii="Garamond" w:hAnsi="Garamond"/>
          </w:rPr>
          <w:t>https://opil.ouplaw.com/display/10.1093/law:epil/9780199231690/law-9780199231690-e1476?rskey=kXetSp&amp;result=2&amp;prd=OPIL</w:t>
        </w:r>
      </w:hyperlink>
      <w:r w:rsidRPr="00CF6CCE">
        <w:rPr>
          <w:rFonts w:ascii="Garamond" w:hAnsi="Garamond"/>
        </w:rPr>
        <w:t xml:space="preserve">. </w:t>
      </w:r>
    </w:p>
    <w:p w14:paraId="300DE7AD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i/>
          <w:iCs/>
        </w:rPr>
        <w:t xml:space="preserve">Montevideo Convention on the Rights and Duties of States </w:t>
      </w:r>
      <w:r w:rsidRPr="00CF6CCE">
        <w:rPr>
          <w:rFonts w:ascii="Garamond" w:hAnsi="Garamond"/>
        </w:rPr>
        <w:t>(adopted 26 December 1933, entry into force 26 December 1934).</w:t>
      </w:r>
    </w:p>
    <w:p w14:paraId="207DA1E1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i/>
          <w:iCs/>
        </w:rPr>
        <w:t>Reparation for injuries suffered in the service of the United Nations, Advisory Opinion, ICJ Reports 1949,</w:t>
      </w:r>
      <w:r w:rsidRPr="00CF6CCE">
        <w:rPr>
          <w:rFonts w:ascii="Garamond" w:hAnsi="Garamond"/>
        </w:rPr>
        <w:t xml:space="preserve"> pp. 174.</w:t>
      </w:r>
    </w:p>
    <w:p w14:paraId="0EB7F9E7" w14:textId="77777777" w:rsidR="00F7121F" w:rsidRPr="00CF6CCE" w:rsidRDefault="00F7121F" w:rsidP="00F7121F">
      <w:pPr>
        <w:rPr>
          <w:rFonts w:ascii="Garamond" w:hAnsi="Garamond"/>
          <w:sz w:val="28"/>
          <w:szCs w:val="28"/>
        </w:rPr>
      </w:pPr>
    </w:p>
    <w:p w14:paraId="42FAB922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Jurisdiction and Immunities</w:t>
      </w:r>
    </w:p>
    <w:p w14:paraId="279D1941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50DEAC8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</w:rPr>
        <w:t>Cassese, Chapter 5 &amp; 6.</w:t>
      </w:r>
    </w:p>
    <w:p w14:paraId="098D8FB0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Chapter 20, 21, &amp; 22.</w:t>
      </w:r>
    </w:p>
    <w:p w14:paraId="16CE01D8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Chapter 11 &amp; 12. Parts of Chapter 9 may also be of interest.</w:t>
      </w:r>
    </w:p>
    <w:p w14:paraId="78298A11" w14:textId="77777777" w:rsidR="00F7121F" w:rsidRPr="00CF6CCE" w:rsidRDefault="00F7121F" w:rsidP="00F7121F">
      <w:pPr>
        <w:ind w:left="720"/>
        <w:rPr>
          <w:rFonts w:ascii="Garamond" w:hAnsi="Garamond"/>
        </w:rPr>
      </w:pPr>
    </w:p>
    <w:p w14:paraId="6CA29CC4" w14:textId="731519F0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35650F4D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Bernard H </w:t>
      </w:r>
      <w:proofErr w:type="spellStart"/>
      <w:r w:rsidRPr="00CF6CCE">
        <w:rPr>
          <w:rFonts w:ascii="Garamond" w:hAnsi="Garamond"/>
        </w:rPr>
        <w:t>Oxman</w:t>
      </w:r>
      <w:proofErr w:type="spellEnd"/>
      <w:r w:rsidRPr="00CF6CCE">
        <w:rPr>
          <w:rFonts w:ascii="Garamond" w:hAnsi="Garamond"/>
        </w:rPr>
        <w:t xml:space="preserve">, ‘Jurisdiction of States’, </w:t>
      </w:r>
      <w:r w:rsidRPr="00CF6CCE">
        <w:rPr>
          <w:rFonts w:ascii="Garamond" w:hAnsi="Garamond"/>
          <w:i/>
          <w:iCs/>
        </w:rPr>
        <w:t>Max Planck Encyclopaedia of International Law</w:t>
      </w:r>
      <w:r w:rsidRPr="00CF6CCE">
        <w:rPr>
          <w:rFonts w:ascii="Garamond" w:hAnsi="Garamond"/>
        </w:rPr>
        <w:t xml:space="preserve">, available at: </w:t>
      </w:r>
      <w:hyperlink r:id="rId13" w:history="1">
        <w:r w:rsidRPr="00CF6CCE">
          <w:rPr>
            <w:rStyle w:val="Hyperlink"/>
            <w:rFonts w:ascii="Garamond" w:hAnsi="Garamond"/>
          </w:rPr>
          <w:t>https://opil.ouplaw.com/display/10.1093/law:epil/9780199231690/law-9780199231690-e1436?rskey=bm8lm4&amp;result=6&amp;prd=MPIL</w:t>
        </w:r>
      </w:hyperlink>
      <w:r w:rsidRPr="00CF6CCE">
        <w:rPr>
          <w:rFonts w:ascii="Garamond" w:hAnsi="Garamond"/>
        </w:rPr>
        <w:t xml:space="preserve">. </w:t>
      </w:r>
    </w:p>
    <w:p w14:paraId="0108DFCF" w14:textId="77777777" w:rsidR="00F7121F" w:rsidRPr="00CF6CCE" w:rsidRDefault="00F7121F" w:rsidP="00F7121F">
      <w:pPr>
        <w:rPr>
          <w:rFonts w:ascii="Garamond" w:hAnsi="Garamond"/>
          <w:sz w:val="28"/>
          <w:szCs w:val="28"/>
        </w:rPr>
      </w:pPr>
    </w:p>
    <w:p w14:paraId="4C7EABB7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 xml:space="preserve">Sources of Public International Law I: The Law of Treaties, Unilateral Declarations, and </w:t>
      </w:r>
      <w:r w:rsidRPr="00CF6CCE">
        <w:rPr>
          <w:rFonts w:ascii="Garamond" w:hAnsi="Garamond"/>
          <w:i/>
          <w:iCs/>
          <w:sz w:val="28"/>
          <w:szCs w:val="28"/>
        </w:rPr>
        <w:t>Jus Cogens</w:t>
      </w:r>
    </w:p>
    <w:p w14:paraId="328E6911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1C619176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Chapter 10, pp. 195-196, 232-244.</w:t>
      </w:r>
    </w:p>
    <w:p w14:paraId="66161F00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Chapter 2 &amp; 16, pp. 402-404.</w:t>
      </w:r>
    </w:p>
    <w:p w14:paraId="79B0399C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Chapter 15, pp. 72-78, 90-95.</w:t>
      </w:r>
    </w:p>
    <w:p w14:paraId="789F041D" w14:textId="77777777" w:rsidR="00F7121F" w:rsidRPr="00CF6CCE" w:rsidRDefault="00F7121F" w:rsidP="00F7121F">
      <w:pPr>
        <w:ind w:left="360"/>
        <w:rPr>
          <w:rFonts w:ascii="Garamond" w:hAnsi="Garamond"/>
        </w:rPr>
      </w:pPr>
    </w:p>
    <w:p w14:paraId="076DC2B3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18D311BD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Article 38, </w:t>
      </w:r>
      <w:r w:rsidRPr="00CF6CCE">
        <w:rPr>
          <w:rFonts w:ascii="Garamond" w:hAnsi="Garamond"/>
          <w:i/>
          <w:iCs/>
        </w:rPr>
        <w:t xml:space="preserve">Statute of the International Court of Justice </w:t>
      </w:r>
      <w:r w:rsidRPr="00CF6CCE">
        <w:rPr>
          <w:rFonts w:ascii="Garamond" w:hAnsi="Garamond"/>
        </w:rPr>
        <w:t>(18 April 1946).</w:t>
      </w:r>
    </w:p>
    <w:p w14:paraId="745C48CA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i/>
          <w:iCs/>
        </w:rPr>
        <w:t xml:space="preserve">Vienna Convention on the Law of Treaties </w:t>
      </w:r>
      <w:r w:rsidRPr="00CF6CCE">
        <w:rPr>
          <w:rFonts w:ascii="Garamond" w:hAnsi="Garamond"/>
        </w:rPr>
        <w:t>(adopted 23 May 1969, entry into force 27 January 1980) 1155 UNTS 331.</w:t>
      </w:r>
    </w:p>
    <w:p w14:paraId="13615204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bCs/>
          <w:i/>
          <w:iCs/>
          <w:lang w:val="en-CA"/>
        </w:rPr>
        <w:t>Reservations to the Convention on the Prevention and Punishment of the Crime of Genocide</w:t>
      </w:r>
      <w:r w:rsidRPr="00CF6CCE">
        <w:rPr>
          <w:rFonts w:ascii="Garamond" w:hAnsi="Garamond"/>
          <w:i/>
          <w:iCs/>
          <w:lang w:val="en-CA"/>
        </w:rPr>
        <w:t>, Advisory Opinion, ICJ Reports 1951</w:t>
      </w:r>
      <w:r w:rsidRPr="00CF6CCE">
        <w:rPr>
          <w:rFonts w:ascii="Garamond" w:hAnsi="Garamond"/>
          <w:lang w:val="en-CA"/>
        </w:rPr>
        <w:t>, pp. 15.</w:t>
      </w:r>
    </w:p>
    <w:p w14:paraId="179414D5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bCs/>
          <w:i/>
          <w:iCs/>
        </w:rPr>
        <w:t xml:space="preserve">Nuclear Tests (Australia v France), Judgement, ICJ Reports 1974, </w:t>
      </w:r>
      <w:r w:rsidRPr="00CF6CCE">
        <w:rPr>
          <w:rFonts w:ascii="Garamond" w:hAnsi="Garamond"/>
          <w:bCs/>
        </w:rPr>
        <w:t>p. 253, 267-268.</w:t>
      </w:r>
    </w:p>
    <w:p w14:paraId="26EFFDC1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  <w:bCs/>
        </w:rPr>
      </w:pPr>
      <w:r w:rsidRPr="00CF6CCE">
        <w:rPr>
          <w:rFonts w:ascii="Garamond" w:hAnsi="Garamond"/>
          <w:bCs/>
        </w:rPr>
        <w:t xml:space="preserve">International Law Commission, </w:t>
      </w:r>
      <w:r w:rsidRPr="00CF6CCE">
        <w:rPr>
          <w:rFonts w:ascii="Garamond" w:hAnsi="Garamond"/>
          <w:bCs/>
          <w:i/>
          <w:iCs/>
        </w:rPr>
        <w:t xml:space="preserve">Guiding Principles applicable to unilateral declarations of States capable of creating legal obligations, with commentaries thereto </w:t>
      </w:r>
      <w:r w:rsidRPr="00CF6CCE">
        <w:rPr>
          <w:rFonts w:ascii="Garamond" w:hAnsi="Garamond"/>
          <w:bCs/>
        </w:rPr>
        <w:t>(2006).</w:t>
      </w:r>
    </w:p>
    <w:p w14:paraId="5FE6AECD" w14:textId="77777777" w:rsidR="00F7121F" w:rsidRDefault="00F7121F" w:rsidP="00F7121F">
      <w:pPr>
        <w:rPr>
          <w:rFonts w:ascii="Garamond" w:hAnsi="Garamond"/>
        </w:rPr>
      </w:pPr>
    </w:p>
    <w:p w14:paraId="1E51F459" w14:textId="77777777" w:rsidR="00C50782" w:rsidRPr="00CF6CCE" w:rsidRDefault="00C50782" w:rsidP="00F7121F">
      <w:pPr>
        <w:rPr>
          <w:rFonts w:ascii="Garamond" w:hAnsi="Garamond"/>
        </w:rPr>
      </w:pPr>
    </w:p>
    <w:p w14:paraId="2FCCD893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lastRenderedPageBreak/>
        <w:t>Sources of Public International Law II: Customary International Law, General Principles of Law, and Subsidiary Sources</w:t>
      </w:r>
    </w:p>
    <w:p w14:paraId="609D3AAB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0AE0A5F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pp. 184-195, 199-202.</w:t>
      </w:r>
    </w:p>
    <w:p w14:paraId="674BA129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pp. 21-28, 31-44.</w:t>
      </w:r>
    </w:p>
    <w:p w14:paraId="5B729715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pp. 53-69, 72-90.</w:t>
      </w:r>
    </w:p>
    <w:p w14:paraId="561ADDC4" w14:textId="77777777" w:rsidR="00F7121F" w:rsidRPr="00CF6CCE" w:rsidRDefault="00F7121F" w:rsidP="00F7121F">
      <w:pPr>
        <w:rPr>
          <w:rFonts w:ascii="Garamond" w:hAnsi="Garamond"/>
        </w:rPr>
      </w:pPr>
    </w:p>
    <w:p w14:paraId="5FBA7993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0FD6E049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bCs/>
          <w:i/>
          <w:iCs/>
          <w:lang w:val="en-CA"/>
        </w:rPr>
        <w:t>Military and Paramilitary Activities in and against Nicaragua (Nicaragua v. United States of America)</w:t>
      </w:r>
      <w:r w:rsidRPr="00CF6CCE">
        <w:rPr>
          <w:rFonts w:ascii="Garamond" w:hAnsi="Garamond"/>
          <w:i/>
          <w:iCs/>
          <w:lang w:val="en-CA"/>
        </w:rPr>
        <w:t>, Merits, Judgement, ICJ Reports 1986</w:t>
      </w:r>
      <w:r w:rsidRPr="00CF6CCE">
        <w:rPr>
          <w:rFonts w:ascii="Garamond" w:hAnsi="Garamond"/>
          <w:lang w:val="en-CA"/>
        </w:rPr>
        <w:t>, p. 14, paragraphs 172-269.</w:t>
      </w:r>
    </w:p>
    <w:p w14:paraId="416708DE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International Law Commission, </w:t>
      </w:r>
      <w:r w:rsidRPr="00CF6CCE">
        <w:rPr>
          <w:rFonts w:ascii="Garamond" w:hAnsi="Garamond"/>
          <w:i/>
          <w:iCs/>
        </w:rPr>
        <w:t>Draft Conclusions on Identification of Customary International Law, with commentaries</w:t>
      </w:r>
      <w:r w:rsidRPr="00CF6CCE">
        <w:rPr>
          <w:rFonts w:ascii="Garamond" w:hAnsi="Garamond"/>
        </w:rPr>
        <w:t xml:space="preserve"> (2018).</w:t>
      </w:r>
    </w:p>
    <w:p w14:paraId="28CBF6E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Stefan </w:t>
      </w:r>
      <w:proofErr w:type="spellStart"/>
      <w:r w:rsidRPr="00CF6CCE">
        <w:rPr>
          <w:rFonts w:ascii="Garamond" w:hAnsi="Garamond"/>
        </w:rPr>
        <w:t>Talmon</w:t>
      </w:r>
      <w:proofErr w:type="spellEnd"/>
      <w:r w:rsidRPr="00CF6CCE">
        <w:rPr>
          <w:rFonts w:ascii="Garamond" w:hAnsi="Garamond"/>
        </w:rPr>
        <w:t>, ‘Determining customary international law: the ICJ’s methodology between induction, deduction and assertion’ (2015) 26(2) European Journal of International Law 417-443.</w:t>
      </w:r>
    </w:p>
    <w:p w14:paraId="33CBD5FC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Katie A Johnston, ‘The Nature and Context of Rules and the Identification of Customary International Law’ (2021) 32(4) European Journal of International Law 1167–1190.</w:t>
      </w:r>
    </w:p>
    <w:p w14:paraId="2DDCE4C3" w14:textId="77777777" w:rsidR="00F7121F" w:rsidRPr="00CF6CCE" w:rsidRDefault="00F7121F" w:rsidP="00F7121F">
      <w:pPr>
        <w:rPr>
          <w:rFonts w:ascii="Garamond" w:hAnsi="Garamond"/>
        </w:rPr>
      </w:pPr>
    </w:p>
    <w:p w14:paraId="0E40D9DF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Use of Force</w:t>
      </w:r>
    </w:p>
    <w:p w14:paraId="68F2E8FF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49E16630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Chapter 17.</w:t>
      </w:r>
    </w:p>
    <w:p w14:paraId="671A1A53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Chapter 33.</w:t>
      </w:r>
    </w:p>
    <w:p w14:paraId="6F70C8A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Chapter 19.</w:t>
      </w:r>
    </w:p>
    <w:p w14:paraId="54CE9B17" w14:textId="77777777" w:rsidR="00F7121F" w:rsidRPr="00CF6CCE" w:rsidRDefault="00F7121F" w:rsidP="00F7121F">
      <w:pPr>
        <w:ind w:left="360"/>
        <w:rPr>
          <w:rFonts w:ascii="Garamond" w:hAnsi="Garamond"/>
        </w:rPr>
      </w:pPr>
    </w:p>
    <w:p w14:paraId="152094E7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1DFD29B4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Article 2(4), 51, </w:t>
      </w:r>
      <w:r w:rsidRPr="00CF6CCE">
        <w:rPr>
          <w:rFonts w:ascii="Garamond" w:hAnsi="Garamond"/>
          <w:i/>
          <w:iCs/>
        </w:rPr>
        <w:t xml:space="preserve">Charter of the United Nations </w:t>
      </w:r>
      <w:r w:rsidRPr="00CF6CCE">
        <w:rPr>
          <w:rFonts w:ascii="Garamond" w:hAnsi="Garamond"/>
        </w:rPr>
        <w:t>(adopted 24 October 1945) 1 UNTS XVI.</w:t>
      </w:r>
    </w:p>
    <w:p w14:paraId="14359252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Thomas M Franck, ‘What Happens Now? The United Nations After Iraq’ (2003) 97(3) American Journal of International Law 607-620.</w:t>
      </w:r>
    </w:p>
    <w:p w14:paraId="663B028B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James A. Green, Christian Henderson, and Tom </w:t>
      </w:r>
      <w:proofErr w:type="spellStart"/>
      <w:r w:rsidRPr="00CF6CCE">
        <w:rPr>
          <w:rFonts w:ascii="Garamond" w:hAnsi="Garamond"/>
        </w:rPr>
        <w:t>Ruys</w:t>
      </w:r>
      <w:proofErr w:type="spellEnd"/>
      <w:r w:rsidRPr="00CF6CCE">
        <w:rPr>
          <w:rFonts w:ascii="Garamond" w:hAnsi="Garamond"/>
        </w:rPr>
        <w:t>, ‘Russia’s attack on Ukraine and the jus ad bellum’ (2022) 9(1) Journal on the Use of Force and International Law 4-30.</w:t>
      </w:r>
    </w:p>
    <w:p w14:paraId="00DD758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Ingrid </w:t>
      </w:r>
      <w:proofErr w:type="spellStart"/>
      <w:r w:rsidRPr="00CF6CCE">
        <w:rPr>
          <w:rFonts w:ascii="Garamond" w:hAnsi="Garamond"/>
        </w:rPr>
        <w:t>Wuerth</w:t>
      </w:r>
      <w:proofErr w:type="spellEnd"/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Brunk</w:t>
      </w:r>
      <w:proofErr w:type="spellEnd"/>
      <w:r w:rsidRPr="00CF6CCE">
        <w:rPr>
          <w:rFonts w:ascii="Garamond" w:hAnsi="Garamond"/>
        </w:rPr>
        <w:t xml:space="preserve"> and Monica Hakimi, ‘Russia, Ukraine, and the Future World Order’ (2022) 116(4) American Journal of International Law 687-697.</w:t>
      </w:r>
    </w:p>
    <w:p w14:paraId="4AF2662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Ntina</w:t>
      </w:r>
      <w:proofErr w:type="spellEnd"/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Tzouvala</w:t>
      </w:r>
      <w:proofErr w:type="spellEnd"/>
      <w:r w:rsidRPr="00CF6CCE">
        <w:rPr>
          <w:rFonts w:ascii="Garamond" w:hAnsi="Garamond"/>
        </w:rPr>
        <w:t xml:space="preserve">, ‘Use of force, territorial integrity, and world order: continuing the debate’ (20 March 2023) </w:t>
      </w:r>
      <w:r w:rsidRPr="00CF6CCE">
        <w:rPr>
          <w:rFonts w:ascii="Garamond" w:hAnsi="Garamond"/>
          <w:i/>
          <w:iCs/>
        </w:rPr>
        <w:t>CIL Dialogues</w:t>
      </w:r>
      <w:r w:rsidRPr="00CF6CCE">
        <w:rPr>
          <w:rFonts w:ascii="Garamond" w:hAnsi="Garamond"/>
        </w:rPr>
        <w:t xml:space="preserve">, available at: </w:t>
      </w:r>
      <w:hyperlink r:id="rId14" w:history="1">
        <w:r w:rsidRPr="00CF6CCE">
          <w:rPr>
            <w:rStyle w:val="Hyperlink"/>
            <w:rFonts w:ascii="Garamond" w:hAnsi="Garamond"/>
          </w:rPr>
          <w:t>https://cil.nus.edu.sg/blogs/use-of-force-territorial-integrity-and-world-order-continuing-the-debate/</w:t>
        </w:r>
      </w:hyperlink>
      <w:r w:rsidRPr="00CF6CCE">
        <w:rPr>
          <w:rFonts w:ascii="Garamond" w:hAnsi="Garamond"/>
        </w:rPr>
        <w:t xml:space="preserve">; </w:t>
      </w:r>
      <w:r w:rsidRPr="00CF6CCE">
        <w:rPr>
          <w:rFonts w:ascii="Garamond" w:hAnsi="Garamond"/>
          <w:i/>
          <w:iCs/>
        </w:rPr>
        <w:t xml:space="preserve">see also </w:t>
      </w:r>
      <w:r w:rsidRPr="00CF6CCE">
        <w:rPr>
          <w:rFonts w:ascii="Garamond" w:hAnsi="Garamond"/>
        </w:rPr>
        <w:t xml:space="preserve">the rest of the symposium at: </w:t>
      </w:r>
      <w:hyperlink r:id="rId15" w:history="1">
        <w:r w:rsidRPr="00CF6CCE">
          <w:rPr>
            <w:rStyle w:val="Hyperlink"/>
            <w:rFonts w:ascii="Garamond" w:hAnsi="Garamond"/>
          </w:rPr>
          <w:t>https://cil.nus.edu.sg/blog/symposia/use-of-force-territorial-integrity-and-world-order-continuing-the-debate/</w:t>
        </w:r>
      </w:hyperlink>
      <w:r w:rsidRPr="00CF6CCE">
        <w:rPr>
          <w:rFonts w:ascii="Garamond" w:hAnsi="Garamond"/>
        </w:rPr>
        <w:t xml:space="preserve">. </w:t>
      </w:r>
    </w:p>
    <w:p w14:paraId="5045C328" w14:textId="77777777" w:rsidR="00F7121F" w:rsidRPr="00CF6CCE" w:rsidRDefault="00F7121F" w:rsidP="00F7121F">
      <w:pPr>
        <w:rPr>
          <w:rFonts w:ascii="Garamond" w:hAnsi="Garamond"/>
        </w:rPr>
      </w:pPr>
    </w:p>
    <w:p w14:paraId="1F5CA46F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State Responsibility</w:t>
      </w:r>
    </w:p>
    <w:p w14:paraId="401CF411" w14:textId="77777777" w:rsidR="00F7121F" w:rsidRPr="00CF6CCE" w:rsidRDefault="00F7121F" w:rsidP="00F7121F">
      <w:pPr>
        <w:ind w:left="720"/>
        <w:rPr>
          <w:rFonts w:ascii="Garamond" w:hAnsi="Garamond"/>
        </w:rPr>
      </w:pPr>
      <w:r w:rsidRPr="00CF6CCE">
        <w:rPr>
          <w:rFonts w:ascii="Garamond" w:hAnsi="Garamond"/>
          <w:u w:val="single"/>
        </w:rPr>
        <w:t>Textbooks</w:t>
      </w:r>
    </w:p>
    <w:p w14:paraId="31CBFD6E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Chapter 12.</w:t>
      </w:r>
    </w:p>
    <w:p w14:paraId="79C622D9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Chapter 25-27.</w:t>
      </w:r>
    </w:p>
    <w:p w14:paraId="4133E062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Shaw, Chapter 13.</w:t>
      </w:r>
    </w:p>
    <w:p w14:paraId="7E33EBAF" w14:textId="77777777" w:rsidR="00F7121F" w:rsidRPr="00CF6CCE" w:rsidRDefault="00F7121F" w:rsidP="00F7121F">
      <w:pPr>
        <w:ind w:left="360"/>
        <w:rPr>
          <w:rFonts w:ascii="Garamond" w:hAnsi="Garamond"/>
        </w:rPr>
      </w:pPr>
    </w:p>
    <w:p w14:paraId="28E5A1D8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0C7EAC52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  <w:bCs/>
        </w:rPr>
        <w:t xml:space="preserve">International Law Commission, </w:t>
      </w:r>
      <w:r w:rsidRPr="00CF6CCE">
        <w:rPr>
          <w:rFonts w:ascii="Garamond" w:hAnsi="Garamond"/>
          <w:bCs/>
          <w:i/>
          <w:iCs/>
        </w:rPr>
        <w:t>Draft articles on Responsibility of States for Internationally Wrongful Acts</w:t>
      </w:r>
      <w:r w:rsidRPr="00CF6CCE">
        <w:rPr>
          <w:rFonts w:ascii="Garamond" w:hAnsi="Garamond"/>
          <w:bCs/>
        </w:rPr>
        <w:t xml:space="preserve"> (2001).</w:t>
      </w:r>
    </w:p>
    <w:p w14:paraId="72A578E3" w14:textId="77777777" w:rsidR="00F7121F" w:rsidRPr="00CF6CCE" w:rsidRDefault="00F7121F" w:rsidP="00F7121F">
      <w:pPr>
        <w:rPr>
          <w:rFonts w:ascii="Garamond" w:hAnsi="Garamond"/>
        </w:rPr>
      </w:pPr>
    </w:p>
    <w:p w14:paraId="511B9805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Relationship between Public International Law and Domestic Law</w:t>
      </w:r>
    </w:p>
    <w:p w14:paraId="2AA3E5E3" w14:textId="77777777" w:rsidR="00F7121F" w:rsidRPr="00CF6CCE" w:rsidRDefault="00F7121F" w:rsidP="00F7121F">
      <w:pPr>
        <w:ind w:firstLine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Textbooks</w:t>
      </w:r>
    </w:p>
    <w:p w14:paraId="6CB708C8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>Cassese, pp. 221-231.</w:t>
      </w:r>
    </w:p>
    <w:p w14:paraId="44D8E042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proofErr w:type="spellStart"/>
      <w:r w:rsidRPr="00CF6CCE">
        <w:rPr>
          <w:rFonts w:ascii="Garamond" w:hAnsi="Garamond"/>
        </w:rPr>
        <w:t>Brownlie</w:t>
      </w:r>
      <w:proofErr w:type="spellEnd"/>
      <w:r w:rsidRPr="00CF6CCE">
        <w:rPr>
          <w:rFonts w:ascii="Garamond" w:hAnsi="Garamond"/>
        </w:rPr>
        <w:t>, Chapter 3.</w:t>
      </w:r>
    </w:p>
    <w:p w14:paraId="4F202AB4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lastRenderedPageBreak/>
        <w:t>Shaw, Chapter 4.</w:t>
      </w:r>
    </w:p>
    <w:p w14:paraId="2013165B" w14:textId="77777777" w:rsidR="00F7121F" w:rsidRPr="00CF6CCE" w:rsidRDefault="00F7121F" w:rsidP="00F7121F">
      <w:pPr>
        <w:ind w:left="720"/>
        <w:rPr>
          <w:rFonts w:ascii="Garamond" w:hAnsi="Garamond"/>
        </w:rPr>
      </w:pPr>
    </w:p>
    <w:p w14:paraId="174D682B" w14:textId="77777777" w:rsidR="00F7121F" w:rsidRPr="00CF6CCE" w:rsidRDefault="00F7121F" w:rsidP="00F7121F">
      <w:pPr>
        <w:ind w:left="720"/>
        <w:rPr>
          <w:rFonts w:ascii="Garamond" w:hAnsi="Garamond"/>
          <w:u w:val="single"/>
        </w:rPr>
      </w:pPr>
      <w:r w:rsidRPr="00CF6CCE">
        <w:rPr>
          <w:rFonts w:ascii="Garamond" w:hAnsi="Garamond"/>
          <w:u w:val="single"/>
        </w:rPr>
        <w:t>Additional Reading</w:t>
      </w:r>
    </w:p>
    <w:p w14:paraId="0FA1FB90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Clive R </w:t>
      </w:r>
      <w:proofErr w:type="spellStart"/>
      <w:r w:rsidRPr="00CF6CCE">
        <w:rPr>
          <w:rFonts w:ascii="Garamond" w:hAnsi="Garamond"/>
        </w:rPr>
        <w:t>Symmons</w:t>
      </w:r>
      <w:proofErr w:type="spellEnd"/>
      <w:r w:rsidRPr="00CF6CCE">
        <w:rPr>
          <w:rFonts w:ascii="Garamond" w:hAnsi="Garamond"/>
        </w:rPr>
        <w:t xml:space="preserve">, ‘The Incorporation of Customary International Law into Irish Law’ in Gernot </w:t>
      </w:r>
      <w:proofErr w:type="spellStart"/>
      <w:r w:rsidRPr="00CF6CCE">
        <w:rPr>
          <w:rFonts w:ascii="Garamond" w:hAnsi="Garamond"/>
        </w:rPr>
        <w:t>Biehler</w:t>
      </w:r>
      <w:proofErr w:type="spellEnd"/>
      <w:r w:rsidRPr="00CF6CCE">
        <w:rPr>
          <w:rFonts w:ascii="Garamond" w:hAnsi="Garamond"/>
        </w:rPr>
        <w:t xml:space="preserve">, </w:t>
      </w:r>
      <w:r w:rsidRPr="00CF6CCE">
        <w:rPr>
          <w:rFonts w:ascii="Garamond" w:hAnsi="Garamond"/>
          <w:i/>
          <w:iCs/>
        </w:rPr>
        <w:t xml:space="preserve">International Law in Practice: An Irish Perspective </w:t>
      </w:r>
      <w:r w:rsidRPr="00CF6CCE">
        <w:rPr>
          <w:rFonts w:ascii="Garamond" w:hAnsi="Garamond"/>
        </w:rPr>
        <w:t>(Round Hall, 2005).</w:t>
      </w:r>
    </w:p>
    <w:p w14:paraId="543C70CB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Roslyn Fuller, </w:t>
      </w:r>
      <w:proofErr w:type="spellStart"/>
      <w:r w:rsidRPr="00CF6CCE">
        <w:rPr>
          <w:rFonts w:ascii="Garamond" w:hAnsi="Garamond"/>
          <w:i/>
          <w:iCs/>
        </w:rPr>
        <w:t>Biehler</w:t>
      </w:r>
      <w:proofErr w:type="spellEnd"/>
      <w:r w:rsidRPr="00CF6CCE">
        <w:rPr>
          <w:rFonts w:ascii="Garamond" w:hAnsi="Garamond"/>
          <w:i/>
          <w:iCs/>
        </w:rPr>
        <w:t xml:space="preserve"> on International Law: An Irish Perspective </w:t>
      </w:r>
      <w:r w:rsidRPr="00CF6CCE">
        <w:rPr>
          <w:rFonts w:ascii="Garamond" w:hAnsi="Garamond"/>
        </w:rPr>
        <w:t>(2</w:t>
      </w:r>
      <w:r w:rsidRPr="00CF6CCE">
        <w:rPr>
          <w:rFonts w:ascii="Garamond" w:hAnsi="Garamond"/>
          <w:vertAlign w:val="superscript"/>
        </w:rPr>
        <w:t>nd</w:t>
      </w:r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edn</w:t>
      </w:r>
      <w:proofErr w:type="spellEnd"/>
      <w:r w:rsidRPr="00CF6CCE">
        <w:rPr>
          <w:rFonts w:ascii="Garamond" w:hAnsi="Garamond"/>
        </w:rPr>
        <w:t>, Round Hall, 2013), Chapter 4.</w:t>
      </w:r>
    </w:p>
    <w:p w14:paraId="2DBFFF6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David Fennelly, </w:t>
      </w:r>
      <w:r w:rsidRPr="00CF6CCE">
        <w:rPr>
          <w:rFonts w:ascii="Garamond" w:hAnsi="Garamond"/>
          <w:i/>
          <w:iCs/>
        </w:rPr>
        <w:t xml:space="preserve">International Law in the Irish Legal System </w:t>
      </w:r>
      <w:r w:rsidRPr="00CF6CCE">
        <w:rPr>
          <w:rFonts w:ascii="Garamond" w:hAnsi="Garamond"/>
        </w:rPr>
        <w:t>(Round Hall, 2014), Chapter 2, 4.</w:t>
      </w:r>
    </w:p>
    <w:p w14:paraId="39B5DC39" w14:textId="77777777" w:rsidR="00F7121F" w:rsidRPr="00CF6CCE" w:rsidRDefault="00F7121F" w:rsidP="00F7121F">
      <w:pPr>
        <w:rPr>
          <w:rFonts w:ascii="Garamond" w:hAnsi="Garamond"/>
        </w:rPr>
      </w:pPr>
    </w:p>
    <w:p w14:paraId="10CE4D54" w14:textId="77777777" w:rsidR="00F7121F" w:rsidRPr="00CF6CCE" w:rsidRDefault="00F7121F" w:rsidP="00F7121F">
      <w:pPr>
        <w:pStyle w:val="ListParagraph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CF6CCE">
        <w:rPr>
          <w:rFonts w:ascii="Garamond" w:hAnsi="Garamond"/>
          <w:sz w:val="28"/>
          <w:szCs w:val="28"/>
        </w:rPr>
        <w:t>Critical Approaches to International Law: Feminist, TWAIL, and Marxist Approaches</w:t>
      </w:r>
    </w:p>
    <w:p w14:paraId="55794217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Hilary Charlesworth, Christine </w:t>
      </w:r>
      <w:proofErr w:type="spellStart"/>
      <w:r w:rsidRPr="00CF6CCE">
        <w:rPr>
          <w:rFonts w:ascii="Garamond" w:hAnsi="Garamond"/>
        </w:rPr>
        <w:t>Chinkin</w:t>
      </w:r>
      <w:proofErr w:type="spellEnd"/>
      <w:r w:rsidRPr="00CF6CCE">
        <w:rPr>
          <w:rFonts w:ascii="Garamond" w:hAnsi="Garamond"/>
        </w:rPr>
        <w:t>, and Shelley Wright, ‘Feminist approaches to international law’ (1991) 85(4) American Journal of International Law 613-645.</w:t>
      </w:r>
    </w:p>
    <w:p w14:paraId="27E95D80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James </w:t>
      </w:r>
      <w:proofErr w:type="spellStart"/>
      <w:r w:rsidRPr="00CF6CCE">
        <w:rPr>
          <w:rFonts w:ascii="Garamond" w:hAnsi="Garamond"/>
        </w:rPr>
        <w:t>Thuo</w:t>
      </w:r>
      <w:proofErr w:type="spellEnd"/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Gathii</w:t>
      </w:r>
      <w:proofErr w:type="spellEnd"/>
      <w:r w:rsidRPr="00CF6CCE">
        <w:rPr>
          <w:rFonts w:ascii="Garamond" w:hAnsi="Garamond"/>
        </w:rPr>
        <w:t>, ‘TWAIL: A brief history of its origins, its decentralized network, and a tentative bibliography’ (2011) 3(1) Trade, Law &amp; Development 26-64.</w:t>
      </w:r>
    </w:p>
    <w:p w14:paraId="3EB4B59E" w14:textId="77777777" w:rsidR="00F7121F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</w:rPr>
      </w:pPr>
      <w:r w:rsidRPr="00CF6CCE">
        <w:rPr>
          <w:rFonts w:ascii="Garamond" w:hAnsi="Garamond"/>
        </w:rPr>
        <w:t xml:space="preserve">Antony </w:t>
      </w:r>
      <w:proofErr w:type="spellStart"/>
      <w:r w:rsidRPr="00CF6CCE">
        <w:rPr>
          <w:rFonts w:ascii="Garamond" w:hAnsi="Garamond"/>
        </w:rPr>
        <w:t>Anghie</w:t>
      </w:r>
      <w:proofErr w:type="spellEnd"/>
      <w:r w:rsidRPr="00CF6CCE">
        <w:rPr>
          <w:rFonts w:ascii="Garamond" w:hAnsi="Garamond"/>
        </w:rPr>
        <w:t>, ‘Rethinking International Law: A TWAIL Retrospective’ (2023) 34(1) European Journal of International Law 7-112 (for skimming!).</w:t>
      </w:r>
    </w:p>
    <w:p w14:paraId="19252735" w14:textId="4EAD1CBF" w:rsidR="005B1BAE" w:rsidRPr="00CF6CCE" w:rsidRDefault="00F7121F" w:rsidP="00F7121F">
      <w:pPr>
        <w:pStyle w:val="ListParagraph"/>
        <w:numPr>
          <w:ilvl w:val="0"/>
          <w:numId w:val="22"/>
        </w:numPr>
        <w:ind w:left="1080"/>
        <w:rPr>
          <w:rFonts w:ascii="Garamond" w:hAnsi="Garamond"/>
          <w:i/>
          <w:iCs/>
        </w:rPr>
      </w:pPr>
      <w:proofErr w:type="spellStart"/>
      <w:r w:rsidRPr="00CF6CCE">
        <w:rPr>
          <w:rFonts w:ascii="Garamond" w:hAnsi="Garamond"/>
        </w:rPr>
        <w:t>Ntina</w:t>
      </w:r>
      <w:proofErr w:type="spellEnd"/>
      <w:r w:rsidRPr="00CF6CCE">
        <w:rPr>
          <w:rFonts w:ascii="Garamond" w:hAnsi="Garamond"/>
        </w:rPr>
        <w:t xml:space="preserve"> </w:t>
      </w:r>
      <w:proofErr w:type="spellStart"/>
      <w:r w:rsidRPr="00CF6CCE">
        <w:rPr>
          <w:rFonts w:ascii="Garamond" w:hAnsi="Garamond"/>
        </w:rPr>
        <w:t>Tzouvala</w:t>
      </w:r>
      <w:proofErr w:type="spellEnd"/>
      <w:r w:rsidRPr="00CF6CCE">
        <w:rPr>
          <w:rFonts w:ascii="Garamond" w:hAnsi="Garamond"/>
        </w:rPr>
        <w:t xml:space="preserve">, </w:t>
      </w:r>
      <w:r w:rsidRPr="00CF6CCE">
        <w:rPr>
          <w:rFonts w:ascii="Garamond" w:hAnsi="Garamond"/>
          <w:i/>
          <w:iCs/>
        </w:rPr>
        <w:t xml:space="preserve">Capitalism as Civilisation: A History of International Law </w:t>
      </w:r>
      <w:r w:rsidRPr="00CF6CCE">
        <w:rPr>
          <w:rFonts w:ascii="Garamond" w:hAnsi="Garamond"/>
        </w:rPr>
        <w:t>(Cambridge University Press, 2020).</w:t>
      </w:r>
    </w:p>
    <w:sectPr w:rsidR="005B1BAE" w:rsidRPr="00CF6CCE" w:rsidSect="00F22B01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310" w14:textId="77777777" w:rsidR="00642B72" w:rsidRDefault="00642B72">
      <w:r>
        <w:separator/>
      </w:r>
    </w:p>
  </w:endnote>
  <w:endnote w:type="continuationSeparator" w:id="0">
    <w:p w14:paraId="670A19A0" w14:textId="77777777" w:rsidR="00642B72" w:rsidRDefault="006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3FEF" w14:textId="578D3291" w:rsidR="00000000" w:rsidRDefault="00A27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0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E35EAF" w14:textId="77777777" w:rsidR="00000000" w:rsidRPr="00A22DF4" w:rsidRDefault="00000000" w:rsidP="00F22B01">
    <w:pPr>
      <w:pStyle w:val="Footer"/>
      <w:tabs>
        <w:tab w:val="clear" w:pos="8306"/>
        <w:tab w:val="right" w:pos="9180"/>
      </w:tabs>
      <w:rPr>
        <w:rFonts w:ascii="Verdana" w:hAnsi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2983" w14:textId="77777777" w:rsidR="00642B72" w:rsidRDefault="00642B72">
      <w:r>
        <w:separator/>
      </w:r>
    </w:p>
  </w:footnote>
  <w:footnote w:type="continuationSeparator" w:id="0">
    <w:p w14:paraId="37D115D6" w14:textId="77777777" w:rsidR="00642B72" w:rsidRDefault="0064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418" w14:textId="7D1C0449" w:rsidR="00000000" w:rsidRDefault="00000000">
    <w:pPr>
      <w:pStyle w:val="Header"/>
      <w:jc w:val="center"/>
      <w:rPr>
        <w:rFonts w:ascii="Verdana" w:hAnsi="Verdana"/>
        <w:b/>
        <w:bCs/>
        <w:sz w:val="20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5E"/>
    <w:multiLevelType w:val="hybridMultilevel"/>
    <w:tmpl w:val="851E5D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31FF"/>
    <w:multiLevelType w:val="hybridMultilevel"/>
    <w:tmpl w:val="2DD00D38"/>
    <w:lvl w:ilvl="0" w:tplc="7F347A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68DB"/>
    <w:multiLevelType w:val="hybridMultilevel"/>
    <w:tmpl w:val="C03EBE6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065"/>
    <w:multiLevelType w:val="hybridMultilevel"/>
    <w:tmpl w:val="35EAC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F3A"/>
    <w:multiLevelType w:val="hybridMultilevel"/>
    <w:tmpl w:val="ACB2CB0A"/>
    <w:lvl w:ilvl="0" w:tplc="DD7A0F5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1D5D"/>
    <w:multiLevelType w:val="multilevel"/>
    <w:tmpl w:val="47D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90DFD"/>
    <w:multiLevelType w:val="hybridMultilevel"/>
    <w:tmpl w:val="24926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E3E"/>
    <w:multiLevelType w:val="hybridMultilevel"/>
    <w:tmpl w:val="2E1AECA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522"/>
    <w:multiLevelType w:val="hybridMultilevel"/>
    <w:tmpl w:val="68EC896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71F03"/>
    <w:multiLevelType w:val="hybridMultilevel"/>
    <w:tmpl w:val="CB94A6A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15E9"/>
    <w:multiLevelType w:val="hybridMultilevel"/>
    <w:tmpl w:val="8A7AF95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96F4C"/>
    <w:multiLevelType w:val="hybridMultilevel"/>
    <w:tmpl w:val="2AAEB6B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42F"/>
    <w:multiLevelType w:val="hybridMultilevel"/>
    <w:tmpl w:val="3B64BC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1030"/>
    <w:multiLevelType w:val="hybridMultilevel"/>
    <w:tmpl w:val="AA8416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50E85"/>
    <w:multiLevelType w:val="hybridMultilevel"/>
    <w:tmpl w:val="61BCD8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000F5"/>
    <w:multiLevelType w:val="hybridMultilevel"/>
    <w:tmpl w:val="C2B04B3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759"/>
    <w:multiLevelType w:val="hybridMultilevel"/>
    <w:tmpl w:val="5B66D9F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14F4"/>
    <w:multiLevelType w:val="hybridMultilevel"/>
    <w:tmpl w:val="53B6D9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1A1"/>
    <w:multiLevelType w:val="hybridMultilevel"/>
    <w:tmpl w:val="0F7A08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712DE2"/>
    <w:multiLevelType w:val="hybridMultilevel"/>
    <w:tmpl w:val="F836E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B0A87"/>
    <w:multiLevelType w:val="hybridMultilevel"/>
    <w:tmpl w:val="23C6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A1532"/>
    <w:multiLevelType w:val="hybridMultilevel"/>
    <w:tmpl w:val="B09A8F20"/>
    <w:lvl w:ilvl="0" w:tplc="34A28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46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C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6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6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C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4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1756853">
    <w:abstractNumId w:val="3"/>
  </w:num>
  <w:num w:numId="2" w16cid:durableId="1121650730">
    <w:abstractNumId w:val="20"/>
  </w:num>
  <w:num w:numId="3" w16cid:durableId="505752710">
    <w:abstractNumId w:val="17"/>
  </w:num>
  <w:num w:numId="4" w16cid:durableId="366029923">
    <w:abstractNumId w:val="9"/>
  </w:num>
  <w:num w:numId="5" w16cid:durableId="660277386">
    <w:abstractNumId w:val="16"/>
  </w:num>
  <w:num w:numId="6" w16cid:durableId="1346862457">
    <w:abstractNumId w:val="15"/>
  </w:num>
  <w:num w:numId="7" w16cid:durableId="108355825">
    <w:abstractNumId w:val="11"/>
  </w:num>
  <w:num w:numId="8" w16cid:durableId="231932004">
    <w:abstractNumId w:val="2"/>
  </w:num>
  <w:num w:numId="9" w16cid:durableId="923298736">
    <w:abstractNumId w:val="7"/>
  </w:num>
  <w:num w:numId="10" w16cid:durableId="903376972">
    <w:abstractNumId w:val="6"/>
  </w:num>
  <w:num w:numId="11" w16cid:durableId="849561467">
    <w:abstractNumId w:val="10"/>
  </w:num>
  <w:num w:numId="12" w16cid:durableId="1741708511">
    <w:abstractNumId w:val="8"/>
  </w:num>
  <w:num w:numId="13" w16cid:durableId="1137063709">
    <w:abstractNumId w:val="18"/>
  </w:num>
  <w:num w:numId="14" w16cid:durableId="720907061">
    <w:abstractNumId w:val="13"/>
  </w:num>
  <w:num w:numId="15" w16cid:durableId="389689780">
    <w:abstractNumId w:val="5"/>
  </w:num>
  <w:num w:numId="16" w16cid:durableId="117721257">
    <w:abstractNumId w:val="14"/>
  </w:num>
  <w:num w:numId="17" w16cid:durableId="2143764781">
    <w:abstractNumId w:val="0"/>
  </w:num>
  <w:num w:numId="18" w16cid:durableId="2018993186">
    <w:abstractNumId w:val="12"/>
  </w:num>
  <w:num w:numId="19" w16cid:durableId="1061949227">
    <w:abstractNumId w:val="21"/>
  </w:num>
  <w:num w:numId="20" w16cid:durableId="1588922603">
    <w:abstractNumId w:val="1"/>
  </w:num>
  <w:num w:numId="21" w16cid:durableId="511845093">
    <w:abstractNumId w:val="19"/>
  </w:num>
  <w:num w:numId="22" w16cid:durableId="195520936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FF"/>
    <w:rsid w:val="0000349B"/>
    <w:rsid w:val="00013017"/>
    <w:rsid w:val="0001385E"/>
    <w:rsid w:val="0001619E"/>
    <w:rsid w:val="00022973"/>
    <w:rsid w:val="00043989"/>
    <w:rsid w:val="00056B52"/>
    <w:rsid w:val="000C34E5"/>
    <w:rsid w:val="000C458E"/>
    <w:rsid w:val="00152003"/>
    <w:rsid w:val="00154224"/>
    <w:rsid w:val="001770C7"/>
    <w:rsid w:val="001D3A15"/>
    <w:rsid w:val="001E584F"/>
    <w:rsid w:val="001F152E"/>
    <w:rsid w:val="0024655D"/>
    <w:rsid w:val="002B2DD1"/>
    <w:rsid w:val="002E61DD"/>
    <w:rsid w:val="00331266"/>
    <w:rsid w:val="00364148"/>
    <w:rsid w:val="0037149F"/>
    <w:rsid w:val="0038530A"/>
    <w:rsid w:val="003A3650"/>
    <w:rsid w:val="003C6EFF"/>
    <w:rsid w:val="003D1AAD"/>
    <w:rsid w:val="003D2E1A"/>
    <w:rsid w:val="003E6767"/>
    <w:rsid w:val="003F2ADB"/>
    <w:rsid w:val="004010D3"/>
    <w:rsid w:val="00437BE5"/>
    <w:rsid w:val="0046656C"/>
    <w:rsid w:val="004A3551"/>
    <w:rsid w:val="004D66CA"/>
    <w:rsid w:val="005B1BAE"/>
    <w:rsid w:val="005F6CC4"/>
    <w:rsid w:val="00642B72"/>
    <w:rsid w:val="00653D4A"/>
    <w:rsid w:val="00660F57"/>
    <w:rsid w:val="006A1E2A"/>
    <w:rsid w:val="006B681E"/>
    <w:rsid w:val="006C7A1A"/>
    <w:rsid w:val="006D781A"/>
    <w:rsid w:val="00715A45"/>
    <w:rsid w:val="007205AE"/>
    <w:rsid w:val="00730F45"/>
    <w:rsid w:val="00741F87"/>
    <w:rsid w:val="007C43B2"/>
    <w:rsid w:val="007D3707"/>
    <w:rsid w:val="008B14A6"/>
    <w:rsid w:val="008F59A7"/>
    <w:rsid w:val="00911A27"/>
    <w:rsid w:val="009200E5"/>
    <w:rsid w:val="009674D1"/>
    <w:rsid w:val="009855FA"/>
    <w:rsid w:val="009B0EEE"/>
    <w:rsid w:val="009D0E44"/>
    <w:rsid w:val="009D4674"/>
    <w:rsid w:val="00A271AA"/>
    <w:rsid w:val="00A27B70"/>
    <w:rsid w:val="00A6030A"/>
    <w:rsid w:val="00AF3143"/>
    <w:rsid w:val="00B23A58"/>
    <w:rsid w:val="00B75C06"/>
    <w:rsid w:val="00B852F5"/>
    <w:rsid w:val="00B95231"/>
    <w:rsid w:val="00BC4FCA"/>
    <w:rsid w:val="00C15C20"/>
    <w:rsid w:val="00C25E57"/>
    <w:rsid w:val="00C50782"/>
    <w:rsid w:val="00C81849"/>
    <w:rsid w:val="00C85FAB"/>
    <w:rsid w:val="00C90B31"/>
    <w:rsid w:val="00C95A91"/>
    <w:rsid w:val="00CC4FE1"/>
    <w:rsid w:val="00CF5F5E"/>
    <w:rsid w:val="00CF6CCE"/>
    <w:rsid w:val="00D365F8"/>
    <w:rsid w:val="00D70108"/>
    <w:rsid w:val="00D8677E"/>
    <w:rsid w:val="00D87422"/>
    <w:rsid w:val="00DB28C0"/>
    <w:rsid w:val="00DC10F1"/>
    <w:rsid w:val="00DE1A5B"/>
    <w:rsid w:val="00DE691C"/>
    <w:rsid w:val="00E05BFC"/>
    <w:rsid w:val="00E4436A"/>
    <w:rsid w:val="00E87F60"/>
    <w:rsid w:val="00F30821"/>
    <w:rsid w:val="00F46CC9"/>
    <w:rsid w:val="00F7121F"/>
    <w:rsid w:val="00F778A3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021"/>
  <w15:chartTrackingRefBased/>
  <w15:docId w15:val="{3F9AF650-5568-4AFF-AC8E-BFC3876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6EFF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6E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3C6E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6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3C6EF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6E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6EFF"/>
    <w:pPr>
      <w:jc w:val="center"/>
      <w:outlineLvl w:val="0"/>
    </w:pPr>
    <w:rPr>
      <w:rFonts w:ascii="Arial" w:hAnsi="Arial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3C6EFF"/>
    <w:rPr>
      <w:rFonts w:ascii="Arial" w:eastAsia="Times New Roman" w:hAnsi="Arial" w:cs="Arial"/>
      <w:b/>
      <w:bCs/>
      <w:sz w:val="4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E1A5B"/>
    <w:pPr>
      <w:ind w:left="720"/>
      <w:contextualSpacing/>
    </w:pPr>
  </w:style>
  <w:style w:type="character" w:customStyle="1" w:styleId="separator">
    <w:name w:val="separator"/>
    <w:basedOn w:val="DefaultParagraphFont"/>
    <w:rsid w:val="00E4436A"/>
  </w:style>
  <w:style w:type="character" w:styleId="FollowedHyperlink">
    <w:name w:val="FollowedHyperlink"/>
    <w:basedOn w:val="DefaultParagraphFont"/>
    <w:uiPriority w:val="99"/>
    <w:semiHidden/>
    <w:unhideWhenUsed/>
    <w:rsid w:val="00B952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8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12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2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5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2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lancy5@universityofgalway.ie" TargetMode="External"/><Relationship Id="rId13" Type="http://schemas.openxmlformats.org/officeDocument/2006/relationships/hyperlink" Target="https://opil.ouplaw.com/display/10.1093/law:epil/9780199231690/law-9780199231690-e1436?rskey=bm8lm4&amp;result=6&amp;prd=MPI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obhan.mullally@universityofgalway.ie" TargetMode="External"/><Relationship Id="rId12" Type="http://schemas.openxmlformats.org/officeDocument/2006/relationships/hyperlink" Target="https://opil.ouplaw.com/display/10.1093/law:epil/9780199231690/law-9780199231690-e1476?rskey=kXetSp&amp;result=2&amp;prd=OP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il.ouplaw.com/display/10.1093/law:epil/9780199231690/law-9780199231690-e7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l.nus.edu.sg/blog/symposia/use-of-force-territorial-integrity-and-world-order-continuing-the-debate/" TargetMode="External"/><Relationship Id="rId10" Type="http://schemas.openxmlformats.org/officeDocument/2006/relationships/hyperlink" Target="http://blackboard.nuigalway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arce.clancy@universityofgalway.ie" TargetMode="External"/><Relationship Id="rId14" Type="http://schemas.openxmlformats.org/officeDocument/2006/relationships/hyperlink" Target="https://cil.nus.edu.sg/blogs/use-of-force-territorial-integrity-and-world-order-continuing-the-de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5</Pages>
  <Words>1480</Words>
  <Characters>7847</Characters>
  <Application>Microsoft Office Word</Application>
  <DocSecurity>0</DocSecurity>
  <Lines>107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Ciara</dc:creator>
  <cp:keywords/>
  <dc:description/>
  <cp:lastModifiedBy>CLANCY, PEARCE</cp:lastModifiedBy>
  <cp:revision>22</cp:revision>
  <dcterms:created xsi:type="dcterms:W3CDTF">2021-10-18T18:57:00Z</dcterms:created>
  <dcterms:modified xsi:type="dcterms:W3CDTF">2023-07-25T10:21:00Z</dcterms:modified>
</cp:coreProperties>
</file>