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C5D7" w14:textId="15D205A5" w:rsidR="002F62DB" w:rsidRPr="00CB0759" w:rsidRDefault="002F62DB" w:rsidP="002F62DB">
      <w:pPr>
        <w:pStyle w:val="Heading5"/>
        <w:rPr>
          <w:rFonts w:asciiTheme="minorHAnsi" w:hAnsiTheme="minorHAnsi" w:cstheme="minorHAnsi"/>
          <w:sz w:val="32"/>
          <w:szCs w:val="32"/>
          <w:shd w:val="clear" w:color="auto" w:fill="FFFFFF"/>
        </w:rPr>
      </w:pPr>
      <w:r w:rsidRPr="00A61694">
        <w:rPr>
          <w:rFonts w:asciiTheme="minorHAnsi" w:hAnsiTheme="minorHAnsi" w:cstheme="minorHAnsi"/>
          <w:b/>
          <w:i/>
          <w:iCs/>
          <w:shd w:val="clear" w:color="auto" w:fill="FFFFFF"/>
        </w:rPr>
        <w:t>Glossary of Terms/Further information</w:t>
      </w:r>
    </w:p>
    <w:tbl>
      <w:tblPr>
        <w:tblStyle w:val="TableGrid"/>
        <w:tblW w:w="0" w:type="auto"/>
        <w:tblLook w:val="04A0" w:firstRow="1" w:lastRow="0" w:firstColumn="1" w:lastColumn="0" w:noHBand="0" w:noVBand="1"/>
      </w:tblPr>
      <w:tblGrid>
        <w:gridCol w:w="1827"/>
        <w:gridCol w:w="7189"/>
      </w:tblGrid>
      <w:tr w:rsidR="002F62DB" w:rsidRPr="000277CD" w14:paraId="45CF235F" w14:textId="77777777" w:rsidTr="002F62DB">
        <w:tc>
          <w:tcPr>
            <w:tcW w:w="1827" w:type="dxa"/>
          </w:tcPr>
          <w:p w14:paraId="1C22A977" w14:textId="77777777" w:rsidR="002F62DB" w:rsidRPr="000277CD" w:rsidRDefault="002F62DB" w:rsidP="007A1708">
            <w:pPr>
              <w:pStyle w:val="Heading1"/>
              <w:rPr>
                <w:rFonts w:asciiTheme="minorHAnsi" w:hAnsiTheme="minorHAnsi" w:cstheme="minorHAnsi"/>
                <w:sz w:val="22"/>
                <w:szCs w:val="22"/>
              </w:rPr>
            </w:pPr>
            <w:proofErr w:type="gramStart"/>
            <w:r w:rsidRPr="00CB0759">
              <w:rPr>
                <w:rFonts w:asciiTheme="minorHAnsi" w:hAnsiTheme="minorHAnsi" w:cstheme="minorHAnsi"/>
                <w:sz w:val="22"/>
                <w:szCs w:val="22"/>
              </w:rPr>
              <w:t>An</w:t>
            </w:r>
            <w:proofErr w:type="gramEnd"/>
            <w:r w:rsidRPr="00CB0759">
              <w:rPr>
                <w:rFonts w:asciiTheme="minorHAnsi" w:hAnsiTheme="minorHAnsi" w:cstheme="minorHAnsi"/>
                <w:sz w:val="22"/>
                <w:szCs w:val="22"/>
              </w:rPr>
              <w:t xml:space="preserve"> Garda Síochána</w:t>
            </w:r>
          </w:p>
        </w:tc>
        <w:tc>
          <w:tcPr>
            <w:tcW w:w="7189" w:type="dxa"/>
          </w:tcPr>
          <w:p w14:paraId="4513271A" w14:textId="77777777" w:rsidR="002F62DB" w:rsidRDefault="002F62DB" w:rsidP="007A1708">
            <w:pPr>
              <w:spacing w:before="12"/>
              <w:jc w:val="both"/>
              <w:rPr>
                <w:rFonts w:asciiTheme="minorHAnsi" w:hAnsiTheme="minorHAnsi" w:cstheme="minorHAnsi"/>
                <w:w w:val="110"/>
              </w:rPr>
            </w:pPr>
          </w:p>
          <w:p w14:paraId="6519A72A" w14:textId="77777777" w:rsidR="002F62DB" w:rsidRDefault="002F62DB" w:rsidP="007A1708">
            <w:pPr>
              <w:spacing w:before="12"/>
              <w:jc w:val="both"/>
              <w:rPr>
                <w:rFonts w:asciiTheme="minorHAnsi" w:hAnsiTheme="minorHAnsi" w:cstheme="minorHAnsi"/>
                <w:w w:val="110"/>
              </w:rPr>
            </w:pPr>
          </w:p>
          <w:p w14:paraId="78CC0455" w14:textId="0ACFE891" w:rsidR="002F62DB" w:rsidRPr="000277CD" w:rsidRDefault="002F62DB" w:rsidP="007A1708">
            <w:pPr>
              <w:spacing w:before="12"/>
              <w:jc w:val="both"/>
              <w:rPr>
                <w:rFonts w:asciiTheme="minorHAnsi" w:hAnsiTheme="minorHAnsi" w:cstheme="minorHAnsi"/>
              </w:rPr>
            </w:pPr>
            <w:r w:rsidRPr="00DD6AA5">
              <w:rPr>
                <w:rFonts w:asciiTheme="minorHAnsi" w:eastAsiaTheme="majorEastAsia" w:hAnsiTheme="minorHAnsi" w:cstheme="minorHAnsi"/>
                <w:color w:val="0F4761" w:themeColor="accent1" w:themeShade="BF"/>
              </w:rPr>
              <w:t xml:space="preserve">This is Ireland’s national police and security service. </w:t>
            </w:r>
          </w:p>
        </w:tc>
      </w:tr>
      <w:tr w:rsidR="002F62DB" w:rsidRPr="000277CD" w14:paraId="6360DF50" w14:textId="77777777" w:rsidTr="002F62DB">
        <w:tc>
          <w:tcPr>
            <w:tcW w:w="1827" w:type="dxa"/>
          </w:tcPr>
          <w:p w14:paraId="368CBBF8" w14:textId="77777777" w:rsidR="002F62DB" w:rsidRPr="000277CD" w:rsidRDefault="002F62DB" w:rsidP="007A1708">
            <w:pPr>
              <w:pStyle w:val="Heading1"/>
              <w:rPr>
                <w:rFonts w:asciiTheme="minorHAnsi" w:hAnsiTheme="minorHAnsi" w:cstheme="minorHAnsi"/>
                <w:sz w:val="22"/>
                <w:szCs w:val="22"/>
              </w:rPr>
            </w:pPr>
            <w:r w:rsidRPr="00CB0759">
              <w:rPr>
                <w:rFonts w:asciiTheme="minorHAnsi" w:hAnsiTheme="minorHAnsi" w:cstheme="minorHAnsi"/>
                <w:sz w:val="22"/>
                <w:szCs w:val="22"/>
              </w:rPr>
              <w:t>Bystander</w:t>
            </w:r>
          </w:p>
        </w:tc>
        <w:tc>
          <w:tcPr>
            <w:tcW w:w="7189" w:type="dxa"/>
          </w:tcPr>
          <w:p w14:paraId="265343E8" w14:textId="242EE1B5" w:rsidR="002F62DB" w:rsidRPr="000277CD" w:rsidRDefault="002F62DB" w:rsidP="002F62DB">
            <w:pPr>
              <w:spacing w:before="12"/>
              <w:jc w:val="both"/>
              <w:rPr>
                <w:rFonts w:asciiTheme="minorHAnsi" w:hAnsiTheme="minorHAnsi" w:cstheme="minorHAnsi"/>
              </w:rPr>
            </w:pPr>
            <w:r w:rsidRPr="00DD6AA5">
              <w:rPr>
                <w:rFonts w:asciiTheme="minorHAnsi" w:eastAsiaTheme="majorEastAsia" w:hAnsiTheme="minorHAnsi" w:cstheme="minorHAnsi"/>
                <w:color w:val="0F4761" w:themeColor="accent1" w:themeShade="BF"/>
              </w:rPr>
              <w:t xml:space="preserve">This is an individual who witnesses an incident of inappropriate </w:t>
            </w:r>
            <w:proofErr w:type="spellStart"/>
            <w:r w:rsidRPr="00DD6AA5">
              <w:rPr>
                <w:rFonts w:asciiTheme="minorHAnsi" w:eastAsiaTheme="majorEastAsia" w:hAnsiTheme="minorHAnsi" w:cstheme="minorHAnsi"/>
                <w:color w:val="0F4761" w:themeColor="accent1" w:themeShade="BF"/>
              </w:rPr>
              <w:t>behaviour</w:t>
            </w:r>
            <w:proofErr w:type="spellEnd"/>
            <w:r w:rsidRPr="00DD6AA5">
              <w:rPr>
                <w:rFonts w:asciiTheme="minorHAnsi" w:eastAsiaTheme="majorEastAsia" w:hAnsiTheme="minorHAnsi" w:cstheme="minorHAnsi"/>
                <w:color w:val="0F4761" w:themeColor="accent1" w:themeShade="BF"/>
              </w:rPr>
              <w:t>. As a bystander you are encouraged to report what you witnessed to the SVHPR Office or via Speak out.</w:t>
            </w:r>
          </w:p>
        </w:tc>
      </w:tr>
      <w:tr w:rsidR="002F62DB" w:rsidRPr="000277CD" w14:paraId="43601233" w14:textId="77777777" w:rsidTr="002F62DB">
        <w:tc>
          <w:tcPr>
            <w:tcW w:w="1827" w:type="dxa"/>
          </w:tcPr>
          <w:p w14:paraId="1663FD92" w14:textId="77777777" w:rsidR="002F62DB" w:rsidRPr="000277CD" w:rsidRDefault="002F62DB" w:rsidP="007A1708">
            <w:pPr>
              <w:pStyle w:val="Heading1"/>
              <w:rPr>
                <w:rFonts w:asciiTheme="minorHAnsi" w:hAnsiTheme="minorHAnsi" w:cstheme="minorHAnsi"/>
                <w:sz w:val="32"/>
                <w:szCs w:val="32"/>
                <w:shd w:val="clear" w:color="auto" w:fill="FFFFFF"/>
              </w:rPr>
            </w:pPr>
            <w:bookmarkStart w:id="0" w:name="_Coercive_Control"/>
            <w:bookmarkEnd w:id="0"/>
            <w:r w:rsidRPr="000277CD">
              <w:rPr>
                <w:rFonts w:asciiTheme="minorHAnsi" w:hAnsiTheme="minorHAnsi" w:cstheme="minorHAnsi"/>
                <w:sz w:val="22"/>
                <w:szCs w:val="22"/>
              </w:rPr>
              <w:t xml:space="preserve">Coercive Control </w:t>
            </w:r>
          </w:p>
        </w:tc>
        <w:tc>
          <w:tcPr>
            <w:tcW w:w="7189" w:type="dxa"/>
          </w:tcPr>
          <w:p w14:paraId="15038709" w14:textId="77777777" w:rsidR="002F62DB" w:rsidRPr="00CB0759" w:rsidRDefault="002F62DB" w:rsidP="007A1708">
            <w:pPr>
              <w:pStyle w:val="Heading2"/>
              <w:rPr>
                <w:rFonts w:asciiTheme="minorHAnsi" w:hAnsiTheme="minorHAnsi" w:cstheme="minorHAnsi"/>
                <w:sz w:val="22"/>
                <w:szCs w:val="22"/>
              </w:rPr>
            </w:pPr>
            <w:r w:rsidRPr="000277CD">
              <w:rPr>
                <w:rFonts w:asciiTheme="minorHAnsi" w:hAnsiTheme="minorHAnsi" w:cstheme="minorHAnsi"/>
                <w:sz w:val="22"/>
                <w:szCs w:val="22"/>
              </w:rPr>
              <w:t xml:space="preserve">Coercive control is a persistent pattern of assaults, threats, humiliation and intimidation that your partner or ex uses to control, harm, frighten or punish you. It includes some or all forms of domestic abuse (emotional, physical, financial, sexual, including threats) and can result in you feeling trapped, being afraid, being isolated from family/friends. </w:t>
            </w:r>
          </w:p>
        </w:tc>
      </w:tr>
      <w:tr w:rsidR="002F62DB" w:rsidRPr="000277CD" w14:paraId="4BF8BB53" w14:textId="77777777" w:rsidTr="002F62DB">
        <w:tc>
          <w:tcPr>
            <w:tcW w:w="1827" w:type="dxa"/>
          </w:tcPr>
          <w:p w14:paraId="57A715A1" w14:textId="77777777" w:rsidR="002F62DB" w:rsidRPr="000277CD" w:rsidRDefault="002F62DB" w:rsidP="007A1708">
            <w:pPr>
              <w:pStyle w:val="Heading1"/>
              <w:rPr>
                <w:rFonts w:asciiTheme="minorHAnsi" w:hAnsiTheme="minorHAnsi" w:cstheme="minorHAnsi"/>
                <w:sz w:val="22"/>
                <w:szCs w:val="22"/>
              </w:rPr>
            </w:pPr>
            <w:r w:rsidRPr="000277CD">
              <w:rPr>
                <w:rFonts w:asciiTheme="minorHAnsi" w:hAnsiTheme="minorHAnsi" w:cstheme="minorHAnsi"/>
                <w:sz w:val="22"/>
                <w:szCs w:val="22"/>
              </w:rPr>
              <w:t>Complicity</w:t>
            </w:r>
          </w:p>
        </w:tc>
        <w:tc>
          <w:tcPr>
            <w:tcW w:w="7189" w:type="dxa"/>
          </w:tcPr>
          <w:p w14:paraId="3FF598EE" w14:textId="77777777" w:rsidR="002F62DB" w:rsidRPr="000277CD" w:rsidRDefault="002F62DB" w:rsidP="007A1708">
            <w:pPr>
              <w:pStyle w:val="Heading2"/>
              <w:rPr>
                <w:rFonts w:asciiTheme="minorHAnsi" w:hAnsiTheme="minorHAnsi" w:cstheme="minorHAnsi"/>
                <w:sz w:val="22"/>
                <w:szCs w:val="22"/>
              </w:rPr>
            </w:pPr>
            <w:r w:rsidRPr="00CB0759">
              <w:rPr>
                <w:rStyle w:val="normaltextrun"/>
                <w:rFonts w:asciiTheme="minorHAnsi" w:hAnsiTheme="minorHAnsi" w:cstheme="minorHAnsi"/>
                <w:color w:val="000000"/>
                <w:sz w:val="22"/>
                <w:szCs w:val="22"/>
                <w:shd w:val="clear" w:color="auto" w:fill="FFFFFF"/>
              </w:rPr>
              <w:t>Complicity refers to being involved in or facilitating acts of sexual violence through various means. It can include direct or indirect perpetration of sexual violence or enabling an environment where such violence can occur. An example of complicity might be</w:t>
            </w:r>
            <w:r w:rsidRPr="00CB0759">
              <w:rPr>
                <w:rStyle w:val="normaltextrun"/>
                <w:rFonts w:asciiTheme="minorHAnsi" w:hAnsiTheme="minorHAnsi" w:cstheme="minorHAnsi"/>
              </w:rPr>
              <w:t xml:space="preserve"> </w:t>
            </w:r>
            <w:r w:rsidRPr="00CB0759">
              <w:rPr>
                <w:rStyle w:val="normaltextrun"/>
                <w:rFonts w:asciiTheme="minorHAnsi" w:hAnsiTheme="minorHAnsi" w:cstheme="minorHAnsi"/>
                <w:color w:val="000000"/>
                <w:sz w:val="22"/>
                <w:szCs w:val="22"/>
                <w:shd w:val="clear" w:color="auto" w:fill="FFFFFF"/>
              </w:rPr>
              <w:t xml:space="preserve">…… </w:t>
            </w:r>
            <w:r w:rsidRPr="00CB0759">
              <w:rPr>
                <w:rStyle w:val="normaltextrun"/>
                <w:rFonts w:asciiTheme="minorHAnsi" w:hAnsiTheme="minorHAnsi" w:cstheme="minorHAnsi"/>
              </w:rPr>
              <w:t xml:space="preserve"> </w:t>
            </w:r>
          </w:p>
        </w:tc>
      </w:tr>
      <w:tr w:rsidR="002F62DB" w:rsidRPr="000277CD" w14:paraId="49BBFE78" w14:textId="77777777" w:rsidTr="002F62DB">
        <w:tc>
          <w:tcPr>
            <w:tcW w:w="1827" w:type="dxa"/>
          </w:tcPr>
          <w:p w14:paraId="20374954" w14:textId="77777777" w:rsidR="002F62DB" w:rsidRPr="000277CD" w:rsidRDefault="002F62DB" w:rsidP="007A1708">
            <w:pPr>
              <w:pStyle w:val="Heading1"/>
              <w:rPr>
                <w:rFonts w:asciiTheme="minorHAnsi" w:hAnsiTheme="minorHAnsi" w:cstheme="minorHAnsi"/>
                <w:sz w:val="22"/>
                <w:szCs w:val="22"/>
              </w:rPr>
            </w:pPr>
            <w:r w:rsidRPr="000277CD">
              <w:rPr>
                <w:rFonts w:asciiTheme="minorHAnsi" w:hAnsiTheme="minorHAnsi" w:cstheme="minorHAnsi"/>
                <w:sz w:val="22"/>
                <w:szCs w:val="22"/>
              </w:rPr>
              <w:t>Consent</w:t>
            </w:r>
          </w:p>
        </w:tc>
        <w:tc>
          <w:tcPr>
            <w:tcW w:w="7189" w:type="dxa"/>
          </w:tcPr>
          <w:p w14:paraId="0404DDC2" w14:textId="77777777" w:rsidR="002F62DB" w:rsidRPr="000277CD" w:rsidRDefault="002F62DB" w:rsidP="007A1708">
            <w:pPr>
              <w:pStyle w:val="Heading2"/>
              <w:rPr>
                <w:rFonts w:asciiTheme="minorHAnsi" w:hAnsiTheme="minorHAnsi" w:cstheme="minorHAnsi"/>
                <w:sz w:val="22"/>
                <w:szCs w:val="22"/>
              </w:rPr>
            </w:pPr>
            <w:r w:rsidRPr="000277CD">
              <w:rPr>
                <w:rFonts w:asciiTheme="minorHAnsi" w:hAnsiTheme="minorHAnsi" w:cstheme="minorHAnsi"/>
                <w:sz w:val="22"/>
                <w:szCs w:val="22"/>
              </w:rPr>
              <w:t xml:space="preserve">The University of Galway works closely with </w:t>
            </w:r>
            <w:hyperlink r:id="rId5" w:history="1">
              <w:r w:rsidRPr="000277CD">
                <w:rPr>
                  <w:rStyle w:val="Hyperlink"/>
                  <w:rFonts w:asciiTheme="minorHAnsi" w:hAnsiTheme="minorHAnsi" w:cstheme="minorHAnsi"/>
                  <w:sz w:val="22"/>
                  <w:szCs w:val="22"/>
                </w:rPr>
                <w:t>Active*Consent.</w:t>
              </w:r>
            </w:hyperlink>
            <w:r w:rsidRPr="000277CD">
              <w:rPr>
                <w:rFonts w:asciiTheme="minorHAnsi" w:hAnsiTheme="minorHAnsi" w:cstheme="minorHAnsi"/>
                <w:sz w:val="22"/>
                <w:szCs w:val="22"/>
              </w:rPr>
              <w:t xml:space="preserve"> </w:t>
            </w:r>
            <w:r w:rsidRPr="00CB0759">
              <w:rPr>
                <w:rFonts w:asciiTheme="minorHAnsi" w:hAnsiTheme="minorHAnsi" w:cstheme="minorHAnsi"/>
                <w:sz w:val="22"/>
                <w:szCs w:val="22"/>
              </w:rPr>
              <w:t xml:space="preserve">Think OMFG – Consent is ongoing, mutual and freely give. </w:t>
            </w:r>
            <w:r w:rsidRPr="000277CD">
              <w:rPr>
                <w:rFonts w:asciiTheme="minorHAnsi" w:hAnsiTheme="minorHAnsi" w:cstheme="minorHAnsi"/>
                <w:sz w:val="22"/>
                <w:szCs w:val="22"/>
              </w:rPr>
              <w:t xml:space="preserve">  Visit the website for further information</w:t>
            </w:r>
          </w:p>
        </w:tc>
      </w:tr>
      <w:tr w:rsidR="002F62DB" w:rsidRPr="000277CD" w14:paraId="200F39C2" w14:textId="77777777" w:rsidTr="002F62DB">
        <w:tc>
          <w:tcPr>
            <w:tcW w:w="1827" w:type="dxa"/>
          </w:tcPr>
          <w:p w14:paraId="4C1E14C4"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bookmarkStart w:id="1" w:name="_Governing_Authority"/>
            <w:bookmarkEnd w:id="1"/>
            <w:r w:rsidRPr="000277CD">
              <w:rPr>
                <w:rStyle w:val="Strong"/>
                <w:rFonts w:asciiTheme="minorHAnsi" w:hAnsiTheme="minorHAnsi" w:cstheme="minorHAnsi"/>
                <w:b w:val="0"/>
                <w:bCs w:val="0"/>
                <w:color w:val="0E2234"/>
                <w:sz w:val="22"/>
                <w:szCs w:val="22"/>
              </w:rPr>
              <w:t xml:space="preserve">Governing Authority </w:t>
            </w:r>
          </w:p>
        </w:tc>
        <w:tc>
          <w:tcPr>
            <w:tcW w:w="7189" w:type="dxa"/>
          </w:tcPr>
          <w:p w14:paraId="390F6E82"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Strong"/>
                <w:b w:val="0"/>
                <w:bCs w:val="0"/>
                <w:color w:val="0E2234"/>
              </w:rPr>
              <w:t>Governing authority oversees the overall governance of the University in accordance with the Universities Act 1997 as amended by the Higher Education Authority Act 2022</w:t>
            </w:r>
          </w:p>
        </w:tc>
      </w:tr>
      <w:tr w:rsidR="002F62DB" w:rsidRPr="000277CD" w14:paraId="1A459C19" w14:textId="77777777" w:rsidTr="002F62DB">
        <w:tc>
          <w:tcPr>
            <w:tcW w:w="1827" w:type="dxa"/>
          </w:tcPr>
          <w:p w14:paraId="03279ABA"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G</w:t>
            </w:r>
            <w:r w:rsidRPr="00CB0759">
              <w:rPr>
                <w:rStyle w:val="Strong"/>
                <w:rFonts w:asciiTheme="minorHAnsi" w:hAnsiTheme="minorHAnsi" w:cstheme="minorHAnsi"/>
                <w:b w:val="0"/>
                <w:bCs w:val="0"/>
                <w:color w:val="0E2234"/>
                <w:sz w:val="22"/>
                <w:szCs w:val="22"/>
              </w:rPr>
              <w:t>roup sexual misconduct</w:t>
            </w:r>
          </w:p>
        </w:tc>
        <w:tc>
          <w:tcPr>
            <w:tcW w:w="7189" w:type="dxa"/>
          </w:tcPr>
          <w:p w14:paraId="21677D7B"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0277CD">
              <w:rPr>
                <w:rStyle w:val="Strong"/>
                <w:rFonts w:asciiTheme="minorHAnsi" w:hAnsiTheme="minorHAnsi" w:cstheme="minorHAnsi"/>
                <w:b w:val="0"/>
                <w:bCs w:val="0"/>
                <w:color w:val="0E2234"/>
              </w:rPr>
              <w:t>G</w:t>
            </w:r>
            <w:r w:rsidRPr="00CB0759">
              <w:rPr>
                <w:rStyle w:val="Strong"/>
                <w:rFonts w:asciiTheme="minorHAnsi" w:hAnsiTheme="minorHAnsi" w:cstheme="minorHAnsi"/>
                <w:b w:val="0"/>
                <w:bCs w:val="0"/>
                <w:color w:val="0E2234"/>
              </w:rPr>
              <w:t xml:space="preserve">roups of individuals or organized </w:t>
            </w:r>
            <w:r w:rsidRPr="000277CD">
              <w:rPr>
                <w:rStyle w:val="Strong"/>
                <w:rFonts w:asciiTheme="minorHAnsi" w:hAnsiTheme="minorHAnsi" w:cstheme="minorHAnsi"/>
                <w:b w:val="0"/>
                <w:bCs w:val="0"/>
                <w:color w:val="0E2234"/>
              </w:rPr>
              <w:t>groups</w:t>
            </w:r>
            <w:r w:rsidRPr="00CB0759">
              <w:rPr>
                <w:rStyle w:val="Strong"/>
                <w:rFonts w:asciiTheme="minorHAnsi" w:hAnsiTheme="minorHAnsi" w:cstheme="minorHAnsi"/>
                <w:b w:val="0"/>
                <w:bCs w:val="0"/>
                <w:color w:val="0E2234"/>
              </w:rPr>
              <w:t xml:space="preserve"> such as teams or societies can </w:t>
            </w:r>
            <w:r w:rsidRPr="000277CD">
              <w:rPr>
                <w:rStyle w:val="Strong"/>
                <w:rFonts w:asciiTheme="minorHAnsi" w:hAnsiTheme="minorHAnsi" w:cstheme="minorHAnsi"/>
                <w:b w:val="0"/>
                <w:bCs w:val="0"/>
                <w:color w:val="0E2234"/>
              </w:rPr>
              <w:t>perpetrate</w:t>
            </w:r>
            <w:r w:rsidRPr="00CB0759">
              <w:rPr>
                <w:rStyle w:val="Strong"/>
                <w:rFonts w:asciiTheme="minorHAnsi" w:hAnsiTheme="minorHAnsi" w:cstheme="minorHAnsi"/>
                <w:b w:val="0"/>
                <w:bCs w:val="0"/>
                <w:color w:val="0E2234"/>
              </w:rPr>
              <w:t xml:space="preserve"> SVH. Examples might be planning or attending inappropriately themed events which aim to degrade or sexually exploit others.  </w:t>
            </w:r>
          </w:p>
        </w:tc>
      </w:tr>
      <w:tr w:rsidR="002F62DB" w:rsidRPr="000277CD" w14:paraId="74DBC5CF" w14:textId="77777777" w:rsidTr="002F62DB">
        <w:tc>
          <w:tcPr>
            <w:tcW w:w="1827" w:type="dxa"/>
          </w:tcPr>
          <w:p w14:paraId="7B822F57"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Emotional abuse</w:t>
            </w:r>
          </w:p>
        </w:tc>
        <w:tc>
          <w:tcPr>
            <w:tcW w:w="7189" w:type="dxa"/>
          </w:tcPr>
          <w:p w14:paraId="488299CF" w14:textId="77777777" w:rsidR="002F62DB" w:rsidRDefault="002F62DB" w:rsidP="007A1708">
            <w:pPr>
              <w:spacing w:before="12"/>
              <w:jc w:val="both"/>
              <w:rPr>
                <w:rStyle w:val="Strong"/>
                <w:rFonts w:asciiTheme="minorHAnsi" w:hAnsiTheme="minorHAnsi" w:cstheme="minorHAnsi"/>
                <w:b w:val="0"/>
                <w:bCs w:val="0"/>
                <w:color w:val="0E2234"/>
              </w:rPr>
            </w:pPr>
          </w:p>
          <w:p w14:paraId="4C5F08A7" w14:textId="3595A25D" w:rsidR="002F62DB" w:rsidRPr="000277CD" w:rsidRDefault="002F62DB" w:rsidP="007A1708">
            <w:pPr>
              <w:spacing w:before="12"/>
              <w:jc w:val="both"/>
              <w:rPr>
                <w:rStyle w:val="Strong"/>
                <w:rFonts w:asciiTheme="minorHAnsi" w:hAnsiTheme="minorHAnsi" w:cstheme="minorHAnsi"/>
                <w:b w:val="0"/>
                <w:bCs w:val="0"/>
                <w:color w:val="0E2234"/>
              </w:rPr>
            </w:pPr>
            <w:r w:rsidRPr="000277CD">
              <w:rPr>
                <w:rStyle w:val="Strong"/>
                <w:rFonts w:asciiTheme="minorHAnsi" w:hAnsiTheme="minorHAnsi" w:cstheme="minorHAnsi"/>
                <w:b w:val="0"/>
                <w:bCs w:val="0"/>
                <w:color w:val="0E2234"/>
              </w:rPr>
              <w:t>See p</w:t>
            </w:r>
            <w:r w:rsidRPr="000277CD">
              <w:rPr>
                <w:rFonts w:asciiTheme="minorHAnsi" w:hAnsiTheme="minorHAnsi" w:cstheme="minorHAnsi"/>
                <w:w w:val="110"/>
              </w:rPr>
              <w:t>sychological abuse</w:t>
            </w:r>
          </w:p>
        </w:tc>
      </w:tr>
      <w:tr w:rsidR="002F62DB" w:rsidRPr="000277CD" w14:paraId="378E2E95" w14:textId="77777777" w:rsidTr="002F62DB">
        <w:tc>
          <w:tcPr>
            <w:tcW w:w="1827" w:type="dxa"/>
          </w:tcPr>
          <w:p w14:paraId="2E40798E"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F</w:t>
            </w:r>
            <w:r w:rsidRPr="00CB0759">
              <w:rPr>
                <w:rStyle w:val="Strong"/>
                <w:rFonts w:asciiTheme="minorHAnsi" w:hAnsiTheme="minorHAnsi" w:cstheme="minorHAnsi"/>
                <w:b w:val="0"/>
                <w:bCs w:val="0"/>
                <w:color w:val="0E2234"/>
                <w:sz w:val="22"/>
                <w:szCs w:val="22"/>
              </w:rPr>
              <w:t>alse reports</w:t>
            </w:r>
          </w:p>
        </w:tc>
        <w:tc>
          <w:tcPr>
            <w:tcW w:w="7189" w:type="dxa"/>
          </w:tcPr>
          <w:p w14:paraId="7A841107"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normaltextrun"/>
                <w:rFonts w:asciiTheme="minorHAnsi" w:hAnsiTheme="minorHAnsi" w:cstheme="minorHAnsi"/>
                <w:color w:val="000000"/>
                <w:shd w:val="clear" w:color="auto" w:fill="FFFFFF"/>
              </w:rPr>
              <w:t>A false report is one which deliberately contains inaccurate or untrue information.</w:t>
            </w:r>
          </w:p>
        </w:tc>
      </w:tr>
      <w:tr w:rsidR="002F62DB" w:rsidRPr="000277CD" w14:paraId="06A0B9E7" w14:textId="77777777" w:rsidTr="002F62DB">
        <w:tc>
          <w:tcPr>
            <w:tcW w:w="1827" w:type="dxa"/>
          </w:tcPr>
          <w:p w14:paraId="649DD97A"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Financial abuse</w:t>
            </w:r>
          </w:p>
        </w:tc>
        <w:tc>
          <w:tcPr>
            <w:tcW w:w="7189" w:type="dxa"/>
          </w:tcPr>
          <w:p w14:paraId="16AD04E0"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Strong"/>
                <w:rFonts w:asciiTheme="minorHAnsi" w:hAnsiTheme="minorHAnsi" w:cstheme="minorHAnsi"/>
                <w:b w:val="0"/>
                <w:bCs w:val="0"/>
                <w:color w:val="0E2234"/>
              </w:rPr>
              <w:t>Financial abuse involves an act or acts where a person is deprived of control of their finances or personal possessions or exploited financially by another person or persons.</w:t>
            </w:r>
          </w:p>
        </w:tc>
      </w:tr>
      <w:tr w:rsidR="002F62DB" w:rsidRPr="000277CD" w14:paraId="49958AB2" w14:textId="77777777" w:rsidTr="002F62DB">
        <w:tc>
          <w:tcPr>
            <w:tcW w:w="1827" w:type="dxa"/>
          </w:tcPr>
          <w:p w14:paraId="5F08930E" w14:textId="77777777" w:rsidR="002F62DB" w:rsidRPr="00CB0759" w:rsidRDefault="002F62DB" w:rsidP="007A1708">
            <w:pPr>
              <w:pStyle w:val="Heading1"/>
              <w:rPr>
                <w:rFonts w:asciiTheme="minorHAnsi" w:hAnsiTheme="minorHAnsi" w:cstheme="minorHAnsi"/>
                <w:b/>
                <w:sz w:val="22"/>
                <w:szCs w:val="22"/>
              </w:rPr>
            </w:pPr>
            <w:r w:rsidRPr="00CB0759">
              <w:rPr>
                <w:rStyle w:val="Strong"/>
                <w:rFonts w:asciiTheme="minorHAnsi" w:hAnsiTheme="minorHAnsi" w:cstheme="minorHAnsi"/>
                <w:b w:val="0"/>
                <w:bCs w:val="0"/>
                <w:color w:val="0E2234"/>
                <w:sz w:val="22"/>
                <w:szCs w:val="22"/>
              </w:rPr>
              <w:t>Intersectionality </w:t>
            </w:r>
          </w:p>
        </w:tc>
        <w:tc>
          <w:tcPr>
            <w:tcW w:w="7189" w:type="dxa"/>
          </w:tcPr>
          <w:p w14:paraId="66FE6C81" w14:textId="77777777" w:rsidR="002F62DB" w:rsidRPr="00CB0759" w:rsidRDefault="002F62DB" w:rsidP="007A1708">
            <w:pPr>
              <w:spacing w:before="12"/>
              <w:jc w:val="both"/>
              <w:rPr>
                <w:rFonts w:asciiTheme="minorHAnsi" w:hAnsiTheme="minorHAnsi" w:cstheme="minorHAnsi"/>
                <w:b/>
              </w:rPr>
            </w:pPr>
            <w:r w:rsidRPr="000277CD">
              <w:rPr>
                <w:rStyle w:val="Strong"/>
                <w:rFonts w:asciiTheme="minorHAnsi" w:hAnsiTheme="minorHAnsi" w:cstheme="minorHAnsi"/>
                <w:b w:val="0"/>
                <w:bCs w:val="0"/>
                <w:color w:val="0E2234"/>
              </w:rPr>
              <w:t>Intersectionality </w:t>
            </w:r>
            <w:r w:rsidRPr="000277CD">
              <w:rPr>
                <w:rFonts w:asciiTheme="minorHAnsi" w:hAnsiTheme="minorHAnsi" w:cstheme="minorHAnsi"/>
                <w:bCs/>
                <w:color w:val="0E2234"/>
              </w:rPr>
              <w:t>is an analytical tool used to study, understand, and respond to the ways in which different axes of inequalities, such as those based on gender, race, class, sexual orientation or other personal characteristics, intersect and contribute to unique experiences of disadvantage and discrimination. (</w:t>
            </w:r>
            <w:proofErr w:type="spellStart"/>
            <w:r w:rsidRPr="000277CD">
              <w:rPr>
                <w:rFonts w:asciiTheme="minorHAnsi" w:hAnsiTheme="minorHAnsi" w:cstheme="minorHAnsi"/>
                <w:bCs/>
                <w:color w:val="0E2234"/>
              </w:rPr>
              <w:t>UniSafe</w:t>
            </w:r>
            <w:proofErr w:type="spellEnd"/>
            <w:r w:rsidRPr="000277CD">
              <w:rPr>
                <w:rFonts w:asciiTheme="minorHAnsi" w:hAnsiTheme="minorHAnsi" w:cstheme="minorHAnsi"/>
                <w:bCs/>
                <w:color w:val="0E2234"/>
              </w:rPr>
              <w:t>)</w:t>
            </w:r>
          </w:p>
        </w:tc>
      </w:tr>
      <w:tr w:rsidR="002F62DB" w:rsidRPr="000277CD" w14:paraId="31BFB674" w14:textId="77777777" w:rsidTr="002F62DB">
        <w:tc>
          <w:tcPr>
            <w:tcW w:w="1827" w:type="dxa"/>
          </w:tcPr>
          <w:p w14:paraId="08F6B5D8" w14:textId="77777777" w:rsidR="002F62DB" w:rsidRPr="000277CD"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hyperlink r:id="rId6" w:history="1">
              <w:r w:rsidRPr="000277CD">
                <w:rPr>
                  <w:rStyle w:val="Hyperlink"/>
                  <w:rFonts w:asciiTheme="minorHAnsi" w:eastAsiaTheme="minorHAnsi" w:hAnsiTheme="minorHAnsi" w:cstheme="minorHAnsi"/>
                  <w:kern w:val="2"/>
                  <w:sz w:val="22"/>
                  <w:szCs w:val="22"/>
                  <w:lang w:eastAsia="en-US"/>
                  <w14:ligatures w14:val="standardContextual"/>
                </w:rPr>
                <w:t>Intimate Image Abuse.</w:t>
              </w:r>
            </w:hyperlink>
            <w:r w:rsidRPr="000277CD">
              <w:rPr>
                <w:rFonts w:asciiTheme="minorHAnsi" w:eastAsiaTheme="minorHAnsi" w:hAnsiTheme="minorHAnsi" w:cstheme="minorHAnsi"/>
                <w:kern w:val="2"/>
                <w:sz w:val="22"/>
                <w:szCs w:val="22"/>
                <w:lang w:eastAsia="en-US"/>
                <w14:ligatures w14:val="standardContextual"/>
              </w:rPr>
              <w:t xml:space="preserve"> </w:t>
            </w:r>
          </w:p>
          <w:p w14:paraId="7BAAD783" w14:textId="77777777" w:rsidR="002F62DB" w:rsidRPr="000277CD" w:rsidRDefault="002F62DB" w:rsidP="007A1708">
            <w:pPr>
              <w:pStyle w:val="Heading1"/>
              <w:rPr>
                <w:rStyle w:val="Strong"/>
                <w:rFonts w:asciiTheme="minorHAnsi" w:hAnsiTheme="minorHAnsi" w:cstheme="minorHAnsi"/>
                <w:color w:val="0E2234"/>
                <w:sz w:val="22"/>
                <w:szCs w:val="22"/>
              </w:rPr>
            </w:pPr>
          </w:p>
        </w:tc>
        <w:tc>
          <w:tcPr>
            <w:tcW w:w="7189" w:type="dxa"/>
          </w:tcPr>
          <w:p w14:paraId="641AB7B2" w14:textId="77777777" w:rsidR="002F62DB" w:rsidRPr="000277CD"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lang w:eastAsia="en-US"/>
                <w14:ligatures w14:val="standardContextual"/>
              </w:rPr>
              <w:t>An "intimate image" in relation to a person, is any visual representation, made by any means including any photographic, film, video or digital representation:</w:t>
            </w:r>
          </w:p>
          <w:p w14:paraId="70061249"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t>of what is, or purports to be the person's genitals, buttocks or anal region and, in the case of a female, her breasts,</w:t>
            </w:r>
          </w:p>
          <w:p w14:paraId="33F86691"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lastRenderedPageBreak/>
              <w:t>of the underwear covering the person's genitals, buttocks or anal region and, in the case of a female, her breasts,</w:t>
            </w:r>
          </w:p>
          <w:p w14:paraId="5B839FD1"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t>in which the person is nude, or</w:t>
            </w:r>
          </w:p>
          <w:p w14:paraId="6396F847" w14:textId="77777777" w:rsidR="002F62DB" w:rsidRPr="00CB0759" w:rsidRDefault="002F62DB" w:rsidP="002F62DB">
            <w:pPr>
              <w:pStyle w:val="NormalWeb"/>
              <w:numPr>
                <w:ilvl w:val="1"/>
                <w:numId w:val="1"/>
              </w:numPr>
              <w:shd w:val="clear" w:color="auto" w:fill="FFFFFF"/>
              <w:spacing w:before="150" w:beforeAutospacing="0" w:after="150" w:afterAutospacing="0"/>
              <w:jc w:val="both"/>
              <w:rPr>
                <w:rStyle w:val="Strong"/>
                <w:rFonts w:asciiTheme="minorHAnsi" w:eastAsiaTheme="minorHAnsi" w:hAnsiTheme="minorHAnsi" w:cstheme="minorHAnsi"/>
                <w:b w:val="0"/>
                <w:bCs w:val="0"/>
                <w:kern w:val="2"/>
                <w:sz w:val="22"/>
                <w:szCs w:val="22"/>
                <w:lang w:eastAsia="en-US"/>
                <w14:ligatures w14:val="standardContextual"/>
              </w:rPr>
            </w:pPr>
            <w:r w:rsidRPr="00CB0759">
              <w:rPr>
                <w:rFonts w:asciiTheme="minorHAnsi" w:eastAsiaTheme="minorHAnsi" w:hAnsiTheme="minorHAnsi" w:cstheme="minorHAnsi"/>
                <w:kern w:val="2"/>
                <w:sz w:val="22"/>
                <w:szCs w:val="22"/>
                <w14:ligatures w14:val="standardContextual"/>
              </w:rPr>
              <w:t>in which the person is engaged in sexual activity.</w:t>
            </w:r>
          </w:p>
        </w:tc>
      </w:tr>
      <w:tr w:rsidR="002F62DB" w:rsidRPr="000277CD" w14:paraId="300BBAC2" w14:textId="77777777" w:rsidTr="002F62DB">
        <w:tc>
          <w:tcPr>
            <w:tcW w:w="1827" w:type="dxa"/>
          </w:tcPr>
          <w:p w14:paraId="22C740E1" w14:textId="77777777" w:rsidR="002F62DB" w:rsidRPr="000277CD" w:rsidRDefault="002F62DB" w:rsidP="007A1708">
            <w:pPr>
              <w:pStyle w:val="NormalWeb"/>
              <w:shd w:val="clear" w:color="auto" w:fill="FFFFFF"/>
              <w:spacing w:before="150" w:beforeAutospacing="0" w:after="150" w:afterAutospacing="0"/>
              <w:rPr>
                <w:rFonts w:asciiTheme="minorHAnsi" w:hAnsiTheme="minorHAnsi" w:cstheme="minorHAnsi"/>
                <w:w w:val="110"/>
                <w:sz w:val="22"/>
                <w:szCs w:val="22"/>
              </w:rPr>
            </w:pPr>
            <w:r w:rsidRPr="000277CD">
              <w:rPr>
                <w:rFonts w:asciiTheme="minorHAnsi" w:hAnsiTheme="minorHAnsi" w:cstheme="minorHAnsi"/>
                <w:w w:val="110"/>
                <w:sz w:val="22"/>
                <w:szCs w:val="22"/>
              </w:rPr>
              <w:lastRenderedPageBreak/>
              <w:t>Natural Justice</w:t>
            </w:r>
          </w:p>
        </w:tc>
        <w:tc>
          <w:tcPr>
            <w:tcW w:w="7189" w:type="dxa"/>
          </w:tcPr>
          <w:p w14:paraId="5110CF2E" w14:textId="7D8BF5D2"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 xml:space="preserve">The principle of “natural justice” is recognised </w:t>
            </w:r>
            <w:r w:rsidRPr="00CB0759">
              <w:rPr>
                <w:rFonts w:asciiTheme="minorHAnsi" w:hAnsiTheme="minorHAnsi" w:cstheme="minorHAnsi"/>
              </w:rPr>
              <w:t>in</w:t>
            </w:r>
            <w:r w:rsidRPr="00CB0759">
              <w:rPr>
                <w:rFonts w:asciiTheme="minorHAnsi" w:hAnsiTheme="minorHAnsi" w:cstheme="minorHAnsi"/>
              </w:rPr>
              <w:t xml:space="preserve"> law and is given constitutional protection amounting to a constitutional right. The effect of this protection is to guarantee the basic fairness of procedures. If a case has potential disciplinary consequences, the University must</w:t>
            </w:r>
            <w:r w:rsidRPr="000277CD">
              <w:rPr>
                <w:rFonts w:asciiTheme="minorHAnsi" w:hAnsiTheme="minorHAnsi" w:cstheme="minorHAnsi"/>
              </w:rPr>
              <w:t xml:space="preserve"> ensure</w:t>
            </w:r>
            <w:r w:rsidRPr="00CB0759">
              <w:rPr>
                <w:rFonts w:asciiTheme="minorHAnsi" w:hAnsiTheme="minorHAnsi" w:cstheme="minorHAnsi"/>
              </w:rPr>
              <w:t xml:space="preserve">: </w:t>
            </w:r>
          </w:p>
          <w:p w14:paraId="0CE8F094" w14:textId="77777777" w:rsidR="002F62DB" w:rsidRPr="000277CD" w:rsidRDefault="002F62DB" w:rsidP="002F62DB">
            <w:pPr>
              <w:pStyle w:val="ListParagraph"/>
              <w:numPr>
                <w:ilvl w:val="0"/>
                <w:numId w:val="2"/>
              </w:numPr>
              <w:spacing w:before="12"/>
              <w:contextualSpacing w:val="0"/>
              <w:rPr>
                <w:rFonts w:asciiTheme="minorHAnsi" w:hAnsiTheme="minorHAnsi" w:cstheme="minorHAnsi"/>
              </w:rPr>
            </w:pPr>
            <w:r w:rsidRPr="000277CD">
              <w:rPr>
                <w:rFonts w:asciiTheme="minorHAnsi" w:hAnsiTheme="minorHAnsi" w:cstheme="minorHAnsi"/>
              </w:rPr>
              <w:t xml:space="preserve">The responding party is made fully aware of any formal allegation made against them. </w:t>
            </w:r>
          </w:p>
          <w:p w14:paraId="5F622193"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are afforded the opportunity to reply to any formal allegation made against them</w:t>
            </w:r>
          </w:p>
          <w:p w14:paraId="52AEED00"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are afforded the right to representation throughout the disciplinary process</w:t>
            </w:r>
          </w:p>
          <w:p w14:paraId="1BC708B8"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receive the right to a full and objective investigation of the allegation</w:t>
            </w:r>
          </w:p>
          <w:p w14:paraId="3DA64E04"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receive the right of appeal</w:t>
            </w:r>
          </w:p>
        </w:tc>
      </w:tr>
      <w:tr w:rsidR="002F62DB" w:rsidRPr="000277CD" w14:paraId="68A6FABA" w14:textId="77777777" w:rsidTr="002F62DB">
        <w:tc>
          <w:tcPr>
            <w:tcW w:w="1827" w:type="dxa"/>
          </w:tcPr>
          <w:p w14:paraId="4D086D02" w14:textId="77777777" w:rsidR="002F62DB" w:rsidRPr="000277CD" w:rsidRDefault="002F62DB" w:rsidP="007A1708">
            <w:pPr>
              <w:pStyle w:val="NormalWeb"/>
              <w:shd w:val="clear" w:color="auto" w:fill="FFFFFF"/>
              <w:spacing w:before="150" w:beforeAutospacing="0" w:after="150" w:afterAutospacing="0"/>
              <w:rPr>
                <w:rFonts w:asciiTheme="minorHAnsi" w:hAnsiTheme="minorHAnsi" w:cstheme="minorHAnsi"/>
                <w:w w:val="110"/>
                <w:sz w:val="22"/>
                <w:szCs w:val="22"/>
              </w:rPr>
            </w:pPr>
            <w:r w:rsidRPr="000277CD">
              <w:rPr>
                <w:rFonts w:asciiTheme="minorHAnsi" w:hAnsiTheme="minorHAnsi" w:cstheme="minorHAnsi"/>
                <w:w w:val="110"/>
                <w:sz w:val="22"/>
                <w:szCs w:val="22"/>
              </w:rPr>
              <w:t>OVPEDI</w:t>
            </w:r>
          </w:p>
        </w:tc>
        <w:tc>
          <w:tcPr>
            <w:tcW w:w="7189" w:type="dxa"/>
          </w:tcPr>
          <w:p w14:paraId="574AB8F9" w14:textId="77777777" w:rsidR="002F62DB" w:rsidRPr="000277CD" w:rsidRDefault="002F62DB" w:rsidP="007A1708">
            <w:pPr>
              <w:spacing w:before="12"/>
              <w:rPr>
                <w:rFonts w:asciiTheme="minorHAnsi" w:hAnsiTheme="minorHAnsi" w:cstheme="minorHAnsi"/>
              </w:rPr>
            </w:pPr>
            <w:r w:rsidRPr="000277CD">
              <w:rPr>
                <w:rFonts w:asciiTheme="minorHAnsi" w:hAnsiTheme="minorHAnsi" w:cstheme="minorHAnsi"/>
              </w:rPr>
              <w:t>Office of the Vice President of Equality, Diversity and Inclusion.</w:t>
            </w:r>
          </w:p>
        </w:tc>
      </w:tr>
      <w:tr w:rsidR="002F62DB" w:rsidRPr="000277CD" w14:paraId="02C4029C" w14:textId="77777777" w:rsidTr="002F62DB">
        <w:tc>
          <w:tcPr>
            <w:tcW w:w="1827" w:type="dxa"/>
          </w:tcPr>
          <w:p w14:paraId="68ED9C57" w14:textId="77777777" w:rsidR="002F62DB" w:rsidRPr="008D2EC7"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7" w:history="1">
              <w:r w:rsidRPr="008D2EC7">
                <w:rPr>
                  <w:rStyle w:val="Hyperlink"/>
                  <w:rFonts w:asciiTheme="minorHAnsi" w:eastAsiaTheme="majorEastAsia" w:hAnsiTheme="minorHAnsi" w:cstheme="minorHAnsi"/>
                  <w:w w:val="110"/>
                  <w:sz w:val="22"/>
                  <w:szCs w:val="22"/>
                </w:rPr>
                <w:t>P</w:t>
              </w:r>
              <w:r w:rsidRPr="00CB0759">
                <w:rPr>
                  <w:rStyle w:val="Hyperlink"/>
                  <w:rFonts w:eastAsiaTheme="majorEastAsia"/>
                  <w:sz w:val="22"/>
                  <w:szCs w:val="22"/>
                </w:rPr>
                <w:t>hysical abuse</w:t>
              </w:r>
            </w:hyperlink>
          </w:p>
        </w:tc>
        <w:tc>
          <w:tcPr>
            <w:tcW w:w="7189" w:type="dxa"/>
          </w:tcPr>
          <w:p w14:paraId="7E93AF96" w14:textId="77777777" w:rsidR="002F62DB" w:rsidRPr="000277CD" w:rsidRDefault="002F62DB" w:rsidP="007A1708">
            <w:pPr>
              <w:spacing w:before="12"/>
              <w:jc w:val="both"/>
              <w:rPr>
                <w:rFonts w:asciiTheme="minorHAnsi" w:hAnsiTheme="minorHAnsi" w:cstheme="minorHAnsi"/>
                <w:color w:val="161F3E"/>
                <w:shd w:val="clear" w:color="auto" w:fill="FFFFFF"/>
              </w:rPr>
            </w:pPr>
            <w:r w:rsidRPr="00CB0759">
              <w:rPr>
                <w:rFonts w:asciiTheme="minorHAnsi" w:hAnsiTheme="minorHAnsi" w:cstheme="minorHAnsi"/>
              </w:rPr>
              <w:t>The use of physical force, the threat of physical force or mistreatment of one person by another which may or may not result in actual physical harm or injury</w:t>
            </w:r>
          </w:p>
        </w:tc>
      </w:tr>
      <w:tr w:rsidR="002F62DB" w:rsidRPr="000277CD" w14:paraId="3692B2F6" w14:textId="77777777" w:rsidTr="002F62DB">
        <w:tc>
          <w:tcPr>
            <w:tcW w:w="1827" w:type="dxa"/>
          </w:tcPr>
          <w:p w14:paraId="34A4CA8D" w14:textId="77777777" w:rsidR="002F62DB" w:rsidRPr="008D2EC7"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8" w:history="1">
              <w:r w:rsidRPr="008D2EC7">
                <w:rPr>
                  <w:rStyle w:val="Hyperlink"/>
                  <w:rFonts w:asciiTheme="minorHAnsi" w:eastAsiaTheme="majorEastAsia" w:hAnsiTheme="minorHAnsi" w:cstheme="minorHAnsi"/>
                  <w:w w:val="110"/>
                  <w:sz w:val="22"/>
                  <w:szCs w:val="22"/>
                </w:rPr>
                <w:t>Psychological abuse</w:t>
              </w:r>
            </w:hyperlink>
          </w:p>
        </w:tc>
        <w:tc>
          <w:tcPr>
            <w:tcW w:w="7189" w:type="dxa"/>
          </w:tcPr>
          <w:p w14:paraId="30FB5FB0" w14:textId="77777777" w:rsidR="002F62DB" w:rsidRPr="000277CD" w:rsidRDefault="002F62DB" w:rsidP="007A1708">
            <w:pPr>
              <w:spacing w:before="12"/>
              <w:jc w:val="both"/>
              <w:rPr>
                <w:rFonts w:asciiTheme="minorHAnsi" w:hAnsiTheme="minorHAnsi" w:cstheme="minorHAnsi"/>
                <w:color w:val="161F3E"/>
                <w:shd w:val="clear" w:color="auto" w:fill="FFFFFF"/>
              </w:rPr>
            </w:pPr>
            <w:proofErr w:type="spellStart"/>
            <w:r w:rsidRPr="00CB0759">
              <w:rPr>
                <w:rFonts w:asciiTheme="minorHAnsi" w:hAnsiTheme="minorHAnsi" w:cstheme="minorHAnsi"/>
              </w:rPr>
              <w:t>Behaviour</w:t>
            </w:r>
            <w:proofErr w:type="spellEnd"/>
            <w:r w:rsidRPr="00CB0759">
              <w:rPr>
                <w:rFonts w:asciiTheme="minorHAnsi" w:hAnsiTheme="minorHAnsi" w:cstheme="minorHAnsi"/>
              </w:rPr>
              <w:t xml:space="preserve"> that is psychologically harmful to another person and which inflicts anxiety or mental distress by threat, humiliation or other verbal/non-verbal conduct</w:t>
            </w:r>
          </w:p>
        </w:tc>
      </w:tr>
      <w:tr w:rsidR="002F62DB" w:rsidRPr="000277CD" w14:paraId="467E58ED" w14:textId="77777777" w:rsidTr="002F62DB">
        <w:tc>
          <w:tcPr>
            <w:tcW w:w="1827" w:type="dxa"/>
          </w:tcPr>
          <w:p w14:paraId="34E860E8" w14:textId="77777777" w:rsidR="002F62DB" w:rsidRPr="008D2EC7"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hyperlink r:id="rId9" w:history="1">
              <w:r w:rsidRPr="00CB0759">
                <w:rPr>
                  <w:rStyle w:val="Hyperlink"/>
                  <w:rFonts w:eastAsiaTheme="majorEastAsia"/>
                  <w:sz w:val="22"/>
                  <w:szCs w:val="22"/>
                </w:rPr>
                <w:t>Sextortion</w:t>
              </w:r>
            </w:hyperlink>
          </w:p>
        </w:tc>
        <w:tc>
          <w:tcPr>
            <w:tcW w:w="7189" w:type="dxa"/>
          </w:tcPr>
          <w:p w14:paraId="51DA8071" w14:textId="77777777" w:rsidR="002F62DB" w:rsidRPr="000277CD" w:rsidRDefault="002F62DB" w:rsidP="007A1708">
            <w:pPr>
              <w:spacing w:before="12"/>
              <w:jc w:val="both"/>
              <w:rPr>
                <w:rFonts w:asciiTheme="minorHAnsi" w:eastAsiaTheme="minorHAnsi" w:hAnsiTheme="minorHAnsi" w:cstheme="minorHAnsi"/>
                <w:kern w:val="2"/>
                <w14:ligatures w14:val="standardContextual"/>
              </w:rPr>
            </w:pPr>
            <w:r w:rsidRPr="000277CD">
              <w:rPr>
                <w:rFonts w:asciiTheme="minorHAnsi" w:hAnsiTheme="minorHAnsi" w:cstheme="minorHAnsi"/>
                <w:color w:val="161F3E"/>
                <w:shd w:val="clear" w:color="auto" w:fill="FFFFFF"/>
              </w:rPr>
              <w:t>Sextortion is a form of cyber extortion which involves the threat or blackmail of having intimate information, images or clips shared without consent.  The threat or blackmail may be to get the victim to do or refrain from doing something, or the threat or blackmail may be purely for money or financial gain.</w:t>
            </w:r>
          </w:p>
        </w:tc>
      </w:tr>
      <w:tr w:rsidR="002F62DB" w:rsidRPr="000277CD" w14:paraId="654DD385" w14:textId="77777777" w:rsidTr="002F62DB">
        <w:tc>
          <w:tcPr>
            <w:tcW w:w="1827" w:type="dxa"/>
          </w:tcPr>
          <w:p w14:paraId="782648D2"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u w:val="single"/>
              </w:rPr>
            </w:pPr>
            <w:hyperlink r:id="rId10" w:history="1">
              <w:r w:rsidRPr="00CB0759">
                <w:rPr>
                  <w:rStyle w:val="Hyperlink"/>
                  <w:rFonts w:asciiTheme="minorHAnsi" w:eastAsiaTheme="majorEastAsia" w:hAnsiTheme="minorHAnsi" w:cstheme="minorHAnsi"/>
                  <w:sz w:val="22"/>
                  <w:szCs w:val="22"/>
                </w:rPr>
                <w:t>Stalking</w:t>
              </w:r>
            </w:hyperlink>
          </w:p>
        </w:tc>
        <w:tc>
          <w:tcPr>
            <w:tcW w:w="7189" w:type="dxa"/>
          </w:tcPr>
          <w:p w14:paraId="6FC4A07D" w14:textId="77777777" w:rsidR="002F62DB" w:rsidRPr="000277CD" w:rsidRDefault="002F62DB" w:rsidP="007A1708">
            <w:pPr>
              <w:rPr>
                <w:rFonts w:asciiTheme="minorHAnsi" w:hAnsiTheme="minorHAnsi" w:cstheme="minorHAnsi"/>
                <w:color w:val="161F3E"/>
                <w:shd w:val="clear" w:color="auto" w:fill="FFFFFF"/>
              </w:rPr>
            </w:pPr>
            <w:r w:rsidRPr="000277CD">
              <w:rPr>
                <w:rFonts w:asciiTheme="minorHAnsi" w:hAnsiTheme="minorHAnsi" w:cstheme="minorHAnsi"/>
              </w:rPr>
              <w:t xml:space="preserve">Stalking is any conduct that puts the victim in fear of violence or causes the victim such serious alarm or distress that it has a substantial adverse effect on their day-to-day activities. Stalking may include acts such as following, communicating, impersonating, interfering with property or pets. Stalking can happen with or without a fear of violence. Stalking can be perpetrated by </w:t>
            </w:r>
            <w:commentRangeStart w:id="2"/>
            <w:r w:rsidRPr="000277CD">
              <w:rPr>
                <w:rFonts w:asciiTheme="minorHAnsi" w:hAnsiTheme="minorHAnsi" w:cstheme="minorHAnsi"/>
              </w:rPr>
              <w:t>anyone</w:t>
            </w:r>
            <w:commentRangeEnd w:id="2"/>
            <w:r w:rsidRPr="000277CD">
              <w:rPr>
                <w:rStyle w:val="CommentReference"/>
                <w:rFonts w:asciiTheme="minorHAnsi" w:hAnsiTheme="minorHAnsi" w:cstheme="minorHAnsi"/>
                <w:sz w:val="22"/>
                <w:szCs w:val="22"/>
              </w:rPr>
              <w:commentReference w:id="2"/>
            </w:r>
            <w:r w:rsidRPr="000277CD">
              <w:rPr>
                <w:rFonts w:asciiTheme="minorHAnsi" w:hAnsiTheme="minorHAnsi" w:cstheme="minorHAnsi"/>
              </w:rPr>
              <w:t xml:space="preserve">. </w:t>
            </w:r>
          </w:p>
        </w:tc>
      </w:tr>
      <w:tr w:rsidR="002F62DB" w:rsidRPr="000277CD" w14:paraId="0CC0C1D0" w14:textId="77777777" w:rsidTr="002F62DB">
        <w:tc>
          <w:tcPr>
            <w:tcW w:w="1827" w:type="dxa"/>
          </w:tcPr>
          <w:p w14:paraId="75B875BF"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sz w:val="22"/>
                <w:szCs w:val="22"/>
              </w:rPr>
            </w:pPr>
            <w:r w:rsidRPr="00CB0759">
              <w:rPr>
                <w:rFonts w:asciiTheme="minorHAnsi" w:hAnsiTheme="minorHAnsi" w:cstheme="minorHAnsi"/>
                <w:sz w:val="22"/>
                <w:szCs w:val="22"/>
              </w:rPr>
              <w:t>Retaliation</w:t>
            </w:r>
          </w:p>
        </w:tc>
        <w:tc>
          <w:tcPr>
            <w:tcW w:w="7189" w:type="dxa"/>
          </w:tcPr>
          <w:p w14:paraId="408A17D3" w14:textId="77777777" w:rsidR="002F62DB" w:rsidRPr="000277CD" w:rsidRDefault="002F62DB" w:rsidP="007A1708">
            <w:pPr>
              <w:rPr>
                <w:rFonts w:asciiTheme="minorHAnsi" w:hAnsiTheme="minorHAnsi" w:cstheme="minorHAnsi"/>
              </w:rPr>
            </w:pPr>
            <w:r w:rsidRPr="00CB0759">
              <w:rPr>
                <w:rStyle w:val="normaltextrun"/>
                <w:rFonts w:asciiTheme="minorHAnsi" w:hAnsiTheme="minorHAnsi" w:cstheme="minorHAnsi"/>
                <w:color w:val="000000"/>
                <w:shd w:val="clear" w:color="auto" w:fill="FFFFFF"/>
              </w:rPr>
              <w:t>Retaliation is the act of taking adverse action or seeking revenge against an individual for making a report, raising concerns, or participating in an investigation. </w:t>
            </w:r>
            <w:r w:rsidRPr="00CB0759">
              <w:rPr>
                <w:rStyle w:val="eop"/>
                <w:rFonts w:asciiTheme="minorHAnsi" w:hAnsiTheme="minorHAnsi" w:cstheme="minorHAnsi"/>
                <w:color w:val="000000"/>
                <w:shd w:val="clear" w:color="auto" w:fill="FFFFFF"/>
              </w:rPr>
              <w:t xml:space="preserve">  An example of retaliation might be following a formal report the responding party or members of their support network threaten or spread </w:t>
            </w:r>
            <w:proofErr w:type="spellStart"/>
            <w:r w:rsidRPr="00CB0759">
              <w:rPr>
                <w:rStyle w:val="eop"/>
                <w:rFonts w:asciiTheme="minorHAnsi" w:hAnsiTheme="minorHAnsi" w:cstheme="minorHAnsi"/>
                <w:color w:val="000000"/>
                <w:shd w:val="clear" w:color="auto" w:fill="FFFFFF"/>
              </w:rPr>
              <w:t>rumours</w:t>
            </w:r>
            <w:proofErr w:type="spellEnd"/>
            <w:r w:rsidRPr="00CB0759">
              <w:rPr>
                <w:rStyle w:val="eop"/>
                <w:rFonts w:asciiTheme="minorHAnsi" w:hAnsiTheme="minorHAnsi" w:cstheme="minorHAnsi"/>
                <w:color w:val="000000"/>
                <w:shd w:val="clear" w:color="auto" w:fill="FFFFFF"/>
              </w:rPr>
              <w:t xml:space="preserve"> about the reporting party. </w:t>
            </w:r>
          </w:p>
        </w:tc>
      </w:tr>
      <w:tr w:rsidR="002F62DB" w:rsidRPr="000277CD" w14:paraId="69ABDD35" w14:textId="77777777" w:rsidTr="002F62DB">
        <w:tc>
          <w:tcPr>
            <w:tcW w:w="1827" w:type="dxa"/>
          </w:tcPr>
          <w:p w14:paraId="59D7F8F7"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sz w:val="22"/>
                <w:szCs w:val="22"/>
              </w:rPr>
            </w:pPr>
            <w:r w:rsidRPr="00CB0759">
              <w:rPr>
                <w:rFonts w:asciiTheme="minorHAnsi" w:hAnsiTheme="minorHAnsi" w:cstheme="minorHAnsi"/>
                <w:sz w:val="22"/>
                <w:szCs w:val="22"/>
              </w:rPr>
              <w:t>UMT</w:t>
            </w:r>
          </w:p>
        </w:tc>
        <w:tc>
          <w:tcPr>
            <w:tcW w:w="7189" w:type="dxa"/>
          </w:tcPr>
          <w:p w14:paraId="4D77029B" w14:textId="77777777" w:rsidR="002F62DB" w:rsidRPr="00CB0759" w:rsidRDefault="002F62DB" w:rsidP="007A1708">
            <w:pPr>
              <w:spacing w:before="12"/>
              <w:jc w:val="both"/>
              <w:rPr>
                <w:rStyle w:val="normaltextrun"/>
                <w:rFonts w:asciiTheme="minorHAnsi" w:hAnsiTheme="minorHAnsi" w:cstheme="minorHAnsi"/>
                <w:color w:val="000000"/>
                <w:sz w:val="24"/>
                <w:szCs w:val="24"/>
                <w:shd w:val="clear" w:color="auto" w:fill="FFFFFF"/>
                <w:lang w:val="en-IE" w:eastAsia="en-IE" w:bidi="ar-SA"/>
              </w:rPr>
            </w:pPr>
            <w:r w:rsidRPr="000277CD">
              <w:rPr>
                <w:rFonts w:asciiTheme="minorHAnsi" w:hAnsiTheme="minorHAnsi" w:cstheme="minorHAnsi"/>
                <w:color w:val="231F20"/>
                <w:w w:val="110"/>
              </w:rPr>
              <w:t xml:space="preserve">UMT is the senior leadership team of the University led by the President. They have overall formal responsibility for operationalizing the </w:t>
            </w:r>
            <w:r w:rsidRPr="000277CD">
              <w:rPr>
                <w:rFonts w:asciiTheme="minorHAnsi" w:hAnsiTheme="minorHAnsi" w:cstheme="minorHAnsi"/>
              </w:rPr>
              <w:t>University of Galway’s commitment to preventing, effectively responding to, and working towards ending (SVH) on our campuses and within our community.</w:t>
            </w:r>
            <w:r w:rsidRPr="00CB0759">
              <w:rPr>
                <w:rFonts w:asciiTheme="minorHAnsi" w:hAnsiTheme="minorHAnsi" w:cstheme="minorHAnsi"/>
              </w:rPr>
              <w:t xml:space="preserve"> </w:t>
            </w:r>
            <w:r w:rsidRPr="000277CD">
              <w:rPr>
                <w:rFonts w:asciiTheme="minorHAnsi" w:hAnsiTheme="minorHAnsi" w:cstheme="minorHAnsi"/>
              </w:rPr>
              <w:t xml:space="preserve"> </w:t>
            </w:r>
          </w:p>
        </w:tc>
      </w:tr>
    </w:tbl>
    <w:p w14:paraId="01521F7C" w14:textId="77777777" w:rsidR="002F62DB" w:rsidRPr="00CB0759" w:rsidRDefault="002F62DB" w:rsidP="002F62DB">
      <w:pPr>
        <w:pStyle w:val="Heading1"/>
        <w:rPr>
          <w:rFonts w:asciiTheme="minorHAnsi" w:hAnsiTheme="minorHAnsi" w:cstheme="minorHAnsi"/>
          <w:sz w:val="32"/>
          <w:szCs w:val="32"/>
          <w:shd w:val="clear" w:color="auto" w:fill="FFFFFF"/>
        </w:rPr>
      </w:pPr>
    </w:p>
    <w:p w14:paraId="468E9ABC" w14:textId="77777777" w:rsidR="002F62DB" w:rsidRPr="00CB0759" w:rsidRDefault="002F62DB" w:rsidP="002F62DB">
      <w:pPr>
        <w:spacing w:before="12"/>
        <w:jc w:val="both"/>
        <w:rPr>
          <w:rFonts w:asciiTheme="minorHAnsi" w:hAnsiTheme="minorHAnsi" w:cstheme="minorHAnsi"/>
          <w:w w:val="110"/>
          <w:u w:val="single"/>
        </w:rPr>
      </w:pPr>
    </w:p>
    <w:p w14:paraId="67D2EB19" w14:textId="77777777" w:rsidR="002F62DB" w:rsidRPr="00CB0759" w:rsidRDefault="002F62DB" w:rsidP="002F62DB">
      <w:pPr>
        <w:spacing w:before="12"/>
        <w:jc w:val="both"/>
        <w:rPr>
          <w:rFonts w:asciiTheme="minorHAnsi" w:hAnsiTheme="minorHAnsi" w:cstheme="minorHAnsi"/>
          <w:w w:val="110"/>
          <w:u w:val="single"/>
        </w:rPr>
      </w:pPr>
    </w:p>
    <w:p w14:paraId="21920A5B" w14:textId="77777777" w:rsidR="002F62DB" w:rsidRPr="00CB0759" w:rsidRDefault="002F62DB" w:rsidP="002F62DB">
      <w:pPr>
        <w:spacing w:before="12"/>
        <w:jc w:val="both"/>
        <w:rPr>
          <w:rFonts w:asciiTheme="minorHAnsi" w:hAnsiTheme="minorHAnsi" w:cstheme="minorHAnsi"/>
          <w:b/>
          <w:bCs/>
          <w:color w:val="231F20"/>
          <w:w w:val="110"/>
        </w:rPr>
      </w:pPr>
    </w:p>
    <w:p w14:paraId="7AA40A97" w14:textId="77777777" w:rsidR="002F62DB" w:rsidRPr="00CB0759" w:rsidRDefault="002F62DB" w:rsidP="002F62DB">
      <w:pPr>
        <w:spacing w:before="12"/>
        <w:jc w:val="both"/>
        <w:rPr>
          <w:rFonts w:asciiTheme="minorHAnsi" w:hAnsiTheme="minorHAnsi" w:cstheme="minorHAnsi"/>
          <w:b/>
          <w:bCs/>
          <w:color w:val="231F20"/>
          <w:w w:val="110"/>
        </w:rPr>
      </w:pPr>
    </w:p>
    <w:p w14:paraId="02373247" w14:textId="77777777" w:rsidR="002F62DB" w:rsidRPr="00CB0759" w:rsidRDefault="002F62DB" w:rsidP="002F62DB">
      <w:pPr>
        <w:spacing w:before="12"/>
        <w:jc w:val="both"/>
        <w:rPr>
          <w:rFonts w:asciiTheme="minorHAnsi" w:hAnsiTheme="minorHAnsi" w:cstheme="minorHAnsi"/>
          <w:b/>
          <w:bCs/>
          <w:color w:val="231F20"/>
          <w:w w:val="110"/>
        </w:rPr>
      </w:pPr>
    </w:p>
    <w:p w14:paraId="1A90852B" w14:textId="77777777" w:rsidR="002F62DB" w:rsidRPr="00CB0759" w:rsidRDefault="002F62DB" w:rsidP="002F62DB">
      <w:pPr>
        <w:spacing w:before="12"/>
        <w:jc w:val="both"/>
        <w:rPr>
          <w:rFonts w:asciiTheme="minorHAnsi" w:hAnsiTheme="minorHAnsi" w:cstheme="minorHAnsi"/>
          <w:b/>
          <w:bCs/>
          <w:color w:val="231F20"/>
          <w:w w:val="110"/>
        </w:rPr>
      </w:pPr>
    </w:p>
    <w:p w14:paraId="68BC65B9" w14:textId="77777777" w:rsidR="002F62DB" w:rsidRPr="000277CD" w:rsidRDefault="002F62DB" w:rsidP="002F62DB">
      <w:pPr>
        <w:spacing w:before="12"/>
        <w:jc w:val="both"/>
        <w:rPr>
          <w:rFonts w:asciiTheme="minorHAnsi" w:hAnsiTheme="minorHAnsi" w:cstheme="minorHAnsi"/>
          <w:b/>
          <w:bCs/>
          <w:color w:val="231F20"/>
          <w:w w:val="110"/>
        </w:rPr>
      </w:pPr>
    </w:p>
    <w:sectPr w:rsidR="002F62DB" w:rsidRPr="000277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Kavanagh, Niamh (Human Resources)" w:date="2024-04-05T12:39:00Z" w:initials="KN(R">
    <w:p w14:paraId="7320FE81" w14:textId="77777777" w:rsidR="002F62DB" w:rsidRDefault="002F62DB" w:rsidP="002F62DB">
      <w:pPr>
        <w:pStyle w:val="CommentText"/>
      </w:pPr>
      <w:r>
        <w:rPr>
          <w:rStyle w:val="CommentReference"/>
        </w:rPr>
        <w:annotationRef/>
      </w:r>
      <w:r>
        <w:rPr>
          <w:color w:val="000000"/>
          <w:highlight w:val="white"/>
        </w:rPr>
        <w:t>The offence can be committed by a single act – it does not need to be persistent or repeated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20FE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B0B166" w16cex:dateUtc="2024-04-05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0FE81" w16cid:durableId="6FB0B1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165CE"/>
    <w:multiLevelType w:val="hybridMultilevel"/>
    <w:tmpl w:val="3B36E2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4D281F"/>
    <w:multiLevelType w:val="hybridMultilevel"/>
    <w:tmpl w:val="9AB21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7361443">
    <w:abstractNumId w:val="0"/>
  </w:num>
  <w:num w:numId="2" w16cid:durableId="14949567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vanagh, Niamh (Human Resources)">
    <w15:presenceInfo w15:providerId="AD" w15:userId="S::0121947S@universityofgalway.ie::fee356de-fae3-46e1-9dee-db0aca268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B"/>
    <w:rsid w:val="00255307"/>
    <w:rsid w:val="002F62DB"/>
    <w:rsid w:val="003C4A06"/>
    <w:rsid w:val="00443EFA"/>
    <w:rsid w:val="00C93E0F"/>
    <w:rsid w:val="00D96C0A"/>
    <w:rsid w:val="00DD6A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5EC"/>
  <w15:chartTrackingRefBased/>
  <w15:docId w15:val="{9E032FF5-BDE3-4C57-8E23-05F74599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DB"/>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2F6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6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F6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DB"/>
    <w:rPr>
      <w:rFonts w:eastAsiaTheme="majorEastAsia" w:cstheme="majorBidi"/>
      <w:color w:val="272727" w:themeColor="text1" w:themeTint="D8"/>
    </w:rPr>
  </w:style>
  <w:style w:type="paragraph" w:styleId="Title">
    <w:name w:val="Title"/>
    <w:basedOn w:val="Normal"/>
    <w:next w:val="Normal"/>
    <w:link w:val="TitleChar"/>
    <w:uiPriority w:val="10"/>
    <w:qFormat/>
    <w:rsid w:val="002F62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DB"/>
    <w:pPr>
      <w:spacing w:before="160"/>
      <w:jc w:val="center"/>
    </w:pPr>
    <w:rPr>
      <w:i/>
      <w:iCs/>
      <w:color w:val="404040" w:themeColor="text1" w:themeTint="BF"/>
    </w:rPr>
  </w:style>
  <w:style w:type="character" w:customStyle="1" w:styleId="QuoteChar">
    <w:name w:val="Quote Char"/>
    <w:basedOn w:val="DefaultParagraphFont"/>
    <w:link w:val="Quote"/>
    <w:uiPriority w:val="29"/>
    <w:rsid w:val="002F62DB"/>
    <w:rPr>
      <w:i/>
      <w:iCs/>
      <w:color w:val="404040" w:themeColor="text1" w:themeTint="BF"/>
    </w:rPr>
  </w:style>
  <w:style w:type="paragraph" w:styleId="ListParagraph">
    <w:name w:val="List Paragraph"/>
    <w:aliases w:val="igunore,Subtitle Cover Page,F5 List Paragraph,Bullet Points,No Spacing1,List Paragraph Char Char Char,Indicator Text,Numbered Para 1,Bullet 1,Colorful List - Accent 11,List Paragraph11,MAIN CONTENT,List Paragraph12,List Paragraph2,lp1"/>
    <w:basedOn w:val="Normal"/>
    <w:link w:val="ListParagraphChar"/>
    <w:uiPriority w:val="34"/>
    <w:qFormat/>
    <w:rsid w:val="002F62DB"/>
    <w:pPr>
      <w:ind w:left="720"/>
      <w:contextualSpacing/>
    </w:pPr>
  </w:style>
  <w:style w:type="character" w:styleId="IntenseEmphasis">
    <w:name w:val="Intense Emphasis"/>
    <w:basedOn w:val="DefaultParagraphFont"/>
    <w:uiPriority w:val="21"/>
    <w:qFormat/>
    <w:rsid w:val="002F62DB"/>
    <w:rPr>
      <w:i/>
      <w:iCs/>
      <w:color w:val="0F4761" w:themeColor="accent1" w:themeShade="BF"/>
    </w:rPr>
  </w:style>
  <w:style w:type="paragraph" w:styleId="IntenseQuote">
    <w:name w:val="Intense Quote"/>
    <w:basedOn w:val="Normal"/>
    <w:next w:val="Normal"/>
    <w:link w:val="IntenseQuoteChar"/>
    <w:uiPriority w:val="30"/>
    <w:qFormat/>
    <w:rsid w:val="002F6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DB"/>
    <w:rPr>
      <w:i/>
      <w:iCs/>
      <w:color w:val="0F4761" w:themeColor="accent1" w:themeShade="BF"/>
    </w:rPr>
  </w:style>
  <w:style w:type="character" w:styleId="IntenseReference">
    <w:name w:val="Intense Reference"/>
    <w:basedOn w:val="DefaultParagraphFont"/>
    <w:uiPriority w:val="32"/>
    <w:qFormat/>
    <w:rsid w:val="002F62DB"/>
    <w:rPr>
      <w:b/>
      <w:bCs/>
      <w:smallCaps/>
      <w:color w:val="0F4761" w:themeColor="accent1" w:themeShade="BF"/>
      <w:spacing w:val="5"/>
    </w:rPr>
  </w:style>
  <w:style w:type="table" w:styleId="TableGrid">
    <w:name w:val="Table Grid"/>
    <w:basedOn w:val="TableNormal"/>
    <w:uiPriority w:val="39"/>
    <w:rsid w:val="002F62DB"/>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2DB"/>
    <w:rPr>
      <w:color w:val="467886" w:themeColor="hyperlink"/>
      <w:u w:val="single"/>
    </w:rPr>
  </w:style>
  <w:style w:type="character" w:styleId="CommentReference">
    <w:name w:val="annotation reference"/>
    <w:basedOn w:val="DefaultParagraphFont"/>
    <w:uiPriority w:val="99"/>
    <w:semiHidden/>
    <w:unhideWhenUsed/>
    <w:rsid w:val="002F62DB"/>
    <w:rPr>
      <w:sz w:val="16"/>
      <w:szCs w:val="16"/>
    </w:rPr>
  </w:style>
  <w:style w:type="paragraph" w:styleId="CommentText">
    <w:name w:val="annotation text"/>
    <w:basedOn w:val="Normal"/>
    <w:link w:val="CommentTextChar"/>
    <w:uiPriority w:val="99"/>
    <w:unhideWhenUsed/>
    <w:rsid w:val="002F62DB"/>
    <w:rPr>
      <w:sz w:val="20"/>
      <w:szCs w:val="20"/>
    </w:rPr>
  </w:style>
  <w:style w:type="character" w:customStyle="1" w:styleId="CommentTextChar">
    <w:name w:val="Comment Text Char"/>
    <w:basedOn w:val="DefaultParagraphFont"/>
    <w:link w:val="CommentText"/>
    <w:uiPriority w:val="99"/>
    <w:rsid w:val="002F62DB"/>
    <w:rPr>
      <w:rFonts w:ascii="Arial" w:eastAsia="Arial" w:hAnsi="Arial" w:cs="Arial"/>
      <w:kern w:val="0"/>
      <w:sz w:val="20"/>
      <w:szCs w:val="20"/>
      <w:lang w:val="en-US" w:bidi="en-US"/>
      <w14:ligatures w14:val="none"/>
    </w:rPr>
  </w:style>
  <w:style w:type="character" w:customStyle="1" w:styleId="normaltextrun">
    <w:name w:val="normaltextrun"/>
    <w:basedOn w:val="DefaultParagraphFont"/>
    <w:rsid w:val="002F62DB"/>
  </w:style>
  <w:style w:type="character" w:customStyle="1" w:styleId="eop">
    <w:name w:val="eop"/>
    <w:basedOn w:val="DefaultParagraphFont"/>
    <w:rsid w:val="002F62DB"/>
  </w:style>
  <w:style w:type="paragraph" w:styleId="NormalWeb">
    <w:name w:val="Normal (Web)"/>
    <w:basedOn w:val="Normal"/>
    <w:uiPriority w:val="99"/>
    <w:unhideWhenUsed/>
    <w:rsid w:val="002F62D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character" w:styleId="Strong">
    <w:name w:val="Strong"/>
    <w:basedOn w:val="DefaultParagraphFont"/>
    <w:uiPriority w:val="22"/>
    <w:qFormat/>
    <w:rsid w:val="002F62DB"/>
    <w:rPr>
      <w:b/>
      <w:bCs/>
    </w:rPr>
  </w:style>
  <w:style w:type="character" w:customStyle="1" w:styleId="ListParagraphChar">
    <w:name w:val="List Paragraph Char"/>
    <w:aliases w:val="igunore Char,Subtitle Cover Page Char,F5 List Paragraph Char,Bullet Points Char,No Spacing1 Char,List Paragraph Char Char Char Char,Indicator Text Char,Numbered Para 1 Char,Bullet 1 Char,Colorful List - Accent 11 Char,lp1 Char"/>
    <w:link w:val="ListParagraph"/>
    <w:uiPriority w:val="34"/>
    <w:qFormat/>
    <w:locked/>
    <w:rsid w:val="002F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socialcare/safeguardingvulnerableadults/types%20of%20abuse.pdf"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hse.ie/eng/about/who/socialcare/safeguardingvulnerableadults/types%20of%20abuse.pdf"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hotline.ie/what-to-report/iia" TargetMode="External"/><Relationship Id="rId11" Type="http://schemas.openxmlformats.org/officeDocument/2006/relationships/comments" Target="comments.xml"/><Relationship Id="rId5" Type="http://schemas.openxmlformats.org/officeDocument/2006/relationships/hyperlink" Target="https://www.consenthub.ie/consent/" TargetMode="External"/><Relationship Id="rId15" Type="http://schemas.openxmlformats.org/officeDocument/2006/relationships/fontTable" Target="fontTable.xml"/><Relationship Id="rId10" Type="http://schemas.openxmlformats.org/officeDocument/2006/relationships/hyperlink" Target="https://www.stalkinginireland.ie/stalking" TargetMode="External"/><Relationship Id="rId4" Type="http://schemas.openxmlformats.org/officeDocument/2006/relationships/webSettings" Target="webSettings.xml"/><Relationship Id="rId9" Type="http://schemas.openxmlformats.org/officeDocument/2006/relationships/hyperlink" Target="https://www.garda.ie/en/crime/sexual-crime/sextortion-advice-if-you-are-a-victim.htm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2</cp:revision>
  <dcterms:created xsi:type="dcterms:W3CDTF">2024-12-09T21:43:00Z</dcterms:created>
  <dcterms:modified xsi:type="dcterms:W3CDTF">2024-12-09T21:45:00Z</dcterms:modified>
</cp:coreProperties>
</file>