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F1EEE" w14:textId="1C6AF7D7" w:rsidR="008A2B5A" w:rsidRPr="008041F4" w:rsidRDefault="008A2B5A" w:rsidP="008041F4">
      <w:pPr>
        <w:pStyle w:val="Heading1"/>
        <w:ind w:hanging="851"/>
      </w:pPr>
      <w:r w:rsidRPr="008A2B5A">
        <w:rPr>
          <w:b/>
        </w:rPr>
        <w:t>Getting started</w:t>
      </w:r>
    </w:p>
    <w:p w14:paraId="49926661" w14:textId="71347488" w:rsidR="008A2B5A" w:rsidRDefault="008A2B5A" w:rsidP="008A2B5A"/>
    <w:p w14:paraId="046767CB" w14:textId="3614BEAC" w:rsidR="008A2B5A" w:rsidRPr="008A2B5A" w:rsidRDefault="008A2B5A" w:rsidP="008A2B5A">
      <w:pPr>
        <w:pStyle w:val="Heading2"/>
        <w:ind w:hanging="851"/>
      </w:pPr>
      <w:r>
        <w:t>Understand your course</w:t>
      </w:r>
    </w:p>
    <w:p w14:paraId="2C39D56D" w14:textId="77777777" w:rsidR="008A2B5A" w:rsidRDefault="008A2B5A" w:rsidP="001A389A">
      <w:pPr>
        <w:spacing w:line="360" w:lineRule="auto"/>
        <w:ind w:left="-851" w:right="-772"/>
        <w:rPr>
          <w:rFonts w:asciiTheme="majorHAnsi" w:hAnsiTheme="majorHAnsi" w:cs="Arial"/>
        </w:rPr>
      </w:pPr>
    </w:p>
    <w:p w14:paraId="227195A5" w14:textId="6A5F7AC6" w:rsidR="004D7E6D" w:rsidRDefault="001A389A" w:rsidP="004D7E6D">
      <w:pPr>
        <w:spacing w:after="240" w:line="360" w:lineRule="auto"/>
        <w:ind w:left="-851" w:right="-772"/>
        <w:rPr>
          <w:rFonts w:asciiTheme="majorHAnsi" w:hAnsiTheme="majorHAnsi" w:cs="Arial"/>
        </w:rPr>
      </w:pPr>
      <w:r w:rsidRPr="001A389A">
        <w:rPr>
          <w:rFonts w:asciiTheme="majorHAnsi" w:hAnsiTheme="majorHAnsi" w:cs="Arial"/>
        </w:rPr>
        <w:t>It’s important t</w:t>
      </w:r>
      <w:r w:rsidR="008A2B5A">
        <w:rPr>
          <w:rFonts w:asciiTheme="majorHAnsi" w:hAnsiTheme="majorHAnsi" w:cs="Arial"/>
        </w:rPr>
        <w:t xml:space="preserve">o </w:t>
      </w:r>
      <w:r w:rsidRPr="001A389A">
        <w:rPr>
          <w:rFonts w:asciiTheme="majorHAnsi" w:hAnsiTheme="majorHAnsi" w:cs="Arial"/>
        </w:rPr>
        <w:t>understand your course (or your ‘</w:t>
      </w:r>
      <w:r w:rsidR="00FA5B97">
        <w:rPr>
          <w:rFonts w:asciiTheme="majorHAnsi" w:hAnsiTheme="majorHAnsi" w:cs="Arial"/>
        </w:rPr>
        <w:t>programme’</w:t>
      </w:r>
      <w:r w:rsidRPr="001A389A">
        <w:rPr>
          <w:rFonts w:asciiTheme="majorHAnsi" w:hAnsiTheme="majorHAnsi" w:cs="Arial"/>
        </w:rPr>
        <w:t>). You may have done some research when you were applying to</w:t>
      </w:r>
      <w:r w:rsidR="004D7E6D">
        <w:rPr>
          <w:rFonts w:asciiTheme="majorHAnsi" w:hAnsiTheme="majorHAnsi" w:cs="Arial"/>
        </w:rPr>
        <w:t xml:space="preserve"> university</w:t>
      </w:r>
      <w:r w:rsidR="008A2B5A">
        <w:rPr>
          <w:rFonts w:asciiTheme="majorHAnsi" w:hAnsiTheme="majorHAnsi" w:cs="Arial"/>
        </w:rPr>
        <w:t xml:space="preserve">, </w:t>
      </w:r>
      <w:r w:rsidRPr="001A389A">
        <w:rPr>
          <w:rFonts w:asciiTheme="majorHAnsi" w:hAnsiTheme="majorHAnsi" w:cs="Arial"/>
        </w:rPr>
        <w:t>or when you accepted your offer of a place</w:t>
      </w:r>
      <w:r>
        <w:rPr>
          <w:rFonts w:asciiTheme="majorHAnsi" w:hAnsiTheme="majorHAnsi" w:cs="Arial"/>
        </w:rPr>
        <w:t xml:space="preserve"> – but </w:t>
      </w:r>
      <w:r w:rsidR="00655087">
        <w:rPr>
          <w:rFonts w:asciiTheme="majorHAnsi" w:hAnsiTheme="majorHAnsi" w:cs="Arial"/>
        </w:rPr>
        <w:t xml:space="preserve">there is </w:t>
      </w:r>
      <w:r w:rsidR="00E51121">
        <w:rPr>
          <w:rFonts w:asciiTheme="majorHAnsi" w:hAnsiTheme="majorHAnsi" w:cs="Arial"/>
        </w:rPr>
        <w:t xml:space="preserve">usually </w:t>
      </w:r>
      <w:r w:rsidRPr="001A389A">
        <w:rPr>
          <w:rFonts w:asciiTheme="majorHAnsi" w:hAnsiTheme="majorHAnsi" w:cs="Arial"/>
        </w:rPr>
        <w:t xml:space="preserve">more to learn! </w:t>
      </w:r>
      <w:r w:rsidR="0080717A">
        <w:rPr>
          <w:rFonts w:asciiTheme="majorHAnsi" w:hAnsiTheme="majorHAnsi" w:cs="Arial"/>
        </w:rPr>
        <w:t>Y</w:t>
      </w:r>
      <w:r w:rsidR="00764605">
        <w:rPr>
          <w:rFonts w:asciiTheme="majorHAnsi" w:hAnsiTheme="majorHAnsi" w:cs="Arial"/>
        </w:rPr>
        <w:t>ou can ask y</w:t>
      </w:r>
      <w:r w:rsidR="004D7E6D">
        <w:rPr>
          <w:rFonts w:asciiTheme="majorHAnsi" w:hAnsiTheme="majorHAnsi" w:cs="Arial"/>
        </w:rPr>
        <w:t xml:space="preserve">our </w:t>
      </w:r>
      <w:r w:rsidR="004D7E6D" w:rsidRPr="002C0035">
        <w:rPr>
          <w:rFonts w:asciiTheme="majorHAnsi" w:hAnsiTheme="majorHAnsi" w:cs="Arial"/>
        </w:rPr>
        <w:t>programme director</w:t>
      </w:r>
      <w:r w:rsidR="004D7E6D">
        <w:rPr>
          <w:rFonts w:asciiTheme="majorHAnsi" w:hAnsiTheme="majorHAnsi" w:cs="Arial"/>
        </w:rPr>
        <w:t xml:space="preserve"> or coordinator, your head of year, your </w:t>
      </w:r>
      <w:hyperlink r:id="rId10" w:history="1">
        <w:r w:rsidR="004D7E6D" w:rsidRPr="00764605">
          <w:rPr>
            <w:rStyle w:val="Hyperlink"/>
            <w:rFonts w:asciiTheme="majorHAnsi" w:hAnsiTheme="majorHAnsi" w:cs="Arial"/>
          </w:rPr>
          <w:t>Student Support Officer</w:t>
        </w:r>
      </w:hyperlink>
      <w:r w:rsidR="004D7E6D">
        <w:rPr>
          <w:rFonts w:asciiTheme="majorHAnsi" w:hAnsiTheme="majorHAnsi" w:cs="Arial"/>
        </w:rPr>
        <w:t xml:space="preserve"> (every College has</w:t>
      </w:r>
      <w:r w:rsidR="00DB104B">
        <w:rPr>
          <w:rFonts w:asciiTheme="majorHAnsi" w:hAnsiTheme="majorHAnsi" w:cs="Arial"/>
        </w:rPr>
        <w:t xml:space="preserve"> a dedicated Support Officer),</w:t>
      </w:r>
      <w:bookmarkStart w:id="0" w:name="_GoBack"/>
      <w:bookmarkEnd w:id="0"/>
      <w:r w:rsidR="004D7E6D" w:rsidRPr="002C0035">
        <w:rPr>
          <w:rFonts w:asciiTheme="majorHAnsi" w:hAnsiTheme="majorHAnsi" w:cs="Arial"/>
        </w:rPr>
        <w:t xml:space="preserve"> staff in your </w:t>
      </w:r>
      <w:r w:rsidR="0080717A">
        <w:rPr>
          <w:rFonts w:asciiTheme="majorHAnsi" w:hAnsiTheme="majorHAnsi" w:cs="Arial"/>
        </w:rPr>
        <w:t>College, School, or Discipline</w:t>
      </w:r>
      <w:r w:rsidR="004D7E6D">
        <w:rPr>
          <w:rFonts w:asciiTheme="majorHAnsi" w:hAnsiTheme="majorHAnsi" w:cs="Arial"/>
        </w:rPr>
        <w:t>, or your research supervisor(s)</w:t>
      </w:r>
      <w:r w:rsidR="00764605">
        <w:rPr>
          <w:rFonts w:asciiTheme="majorHAnsi" w:hAnsiTheme="majorHAnsi" w:cs="Arial"/>
        </w:rPr>
        <w:t xml:space="preserve"> about anything you’re unsure about</w:t>
      </w:r>
      <w:r w:rsidR="004D7E6D">
        <w:rPr>
          <w:rFonts w:asciiTheme="majorHAnsi" w:hAnsiTheme="majorHAnsi" w:cs="Arial"/>
        </w:rPr>
        <w:t>. You can also check</w:t>
      </w:r>
      <w:r w:rsidR="004D7E6D" w:rsidRPr="006C648D">
        <w:rPr>
          <w:rFonts w:asciiTheme="majorHAnsi" w:hAnsiTheme="majorHAnsi" w:cs="Arial"/>
        </w:rPr>
        <w:t xml:space="preserve"> with your classmates,</w:t>
      </w:r>
      <w:r w:rsidR="004D7E6D">
        <w:rPr>
          <w:rFonts w:asciiTheme="majorHAnsi" w:hAnsiTheme="majorHAnsi" w:cs="Arial"/>
        </w:rPr>
        <w:t xml:space="preserve"> CÉIM</w:t>
      </w:r>
      <w:r w:rsidR="004D7E6D" w:rsidRPr="006C648D">
        <w:rPr>
          <w:rFonts w:asciiTheme="majorHAnsi" w:hAnsiTheme="majorHAnsi" w:cs="Arial"/>
        </w:rPr>
        <w:t xml:space="preserve"> leader</w:t>
      </w:r>
      <w:r w:rsidR="004D7E6D">
        <w:rPr>
          <w:rFonts w:asciiTheme="majorHAnsi" w:hAnsiTheme="majorHAnsi" w:cs="Arial"/>
        </w:rPr>
        <w:t>, or the Students’ Union.</w:t>
      </w:r>
    </w:p>
    <w:p w14:paraId="3A7ED859" w14:textId="293C1213" w:rsidR="001A389A" w:rsidRPr="001A389A" w:rsidRDefault="001A389A" w:rsidP="00FA5B97">
      <w:pPr>
        <w:spacing w:after="240" w:line="360" w:lineRule="auto"/>
        <w:ind w:left="-851" w:right="-772"/>
        <w:rPr>
          <w:rFonts w:asciiTheme="majorHAnsi" w:hAnsiTheme="majorHAnsi" w:cs="Arial"/>
        </w:rPr>
      </w:pPr>
      <w:r w:rsidRPr="008A2B5A">
        <w:rPr>
          <w:rStyle w:val="Heading3Char"/>
          <w:b/>
        </w:rPr>
        <w:t>How long is your course?</w:t>
      </w:r>
      <w:r w:rsidRPr="001A389A">
        <w:rPr>
          <w:rFonts w:asciiTheme="majorHAnsi" w:hAnsiTheme="majorHAnsi" w:cs="Arial"/>
          <w:b/>
        </w:rPr>
        <w:t xml:space="preserve"> </w:t>
      </w:r>
      <w:r w:rsidRPr="001A389A">
        <w:rPr>
          <w:rFonts w:asciiTheme="majorHAnsi" w:hAnsiTheme="majorHAnsi" w:cs="Arial"/>
        </w:rPr>
        <w:t xml:space="preserve">Most </w:t>
      </w:r>
      <w:r w:rsidR="008A2B5A">
        <w:rPr>
          <w:rFonts w:asciiTheme="majorHAnsi" w:hAnsiTheme="majorHAnsi" w:cs="Arial"/>
        </w:rPr>
        <w:t xml:space="preserve">undergraduate </w:t>
      </w:r>
      <w:r w:rsidR="0080717A">
        <w:rPr>
          <w:rFonts w:asciiTheme="majorHAnsi" w:hAnsiTheme="majorHAnsi" w:cs="Arial"/>
        </w:rPr>
        <w:t>degree courses last for</w:t>
      </w:r>
      <w:r w:rsidRPr="001A389A">
        <w:rPr>
          <w:rFonts w:asciiTheme="majorHAnsi" w:hAnsiTheme="majorHAnsi" w:cs="Arial"/>
        </w:rPr>
        <w:t xml:space="preserve"> three or four </w:t>
      </w:r>
      <w:r w:rsidRPr="001A389A">
        <w:rPr>
          <w:rFonts w:asciiTheme="majorHAnsi" w:hAnsiTheme="majorHAnsi" w:cs="Arial"/>
          <w:noProof/>
        </w:rPr>
        <w:t>years</w:t>
      </w:r>
      <w:r>
        <w:rPr>
          <w:rFonts w:asciiTheme="majorHAnsi" w:hAnsiTheme="majorHAnsi" w:cs="Arial"/>
        </w:rPr>
        <w:t xml:space="preserve">. </w:t>
      </w:r>
      <w:r w:rsidRPr="001A389A">
        <w:rPr>
          <w:rFonts w:asciiTheme="majorHAnsi" w:hAnsiTheme="majorHAnsi" w:cs="Arial"/>
        </w:rPr>
        <w:t xml:space="preserve">Sometimes you can opt to spend a year </w:t>
      </w:r>
      <w:r w:rsidR="00FA5B97">
        <w:rPr>
          <w:rFonts w:asciiTheme="majorHAnsi" w:hAnsiTheme="majorHAnsi" w:cs="Arial"/>
        </w:rPr>
        <w:t xml:space="preserve">working and/or studying </w:t>
      </w:r>
      <w:r w:rsidRPr="001A389A">
        <w:rPr>
          <w:rFonts w:asciiTheme="majorHAnsi" w:hAnsiTheme="majorHAnsi" w:cs="Arial"/>
        </w:rPr>
        <w:t>abroad, thus a</w:t>
      </w:r>
      <w:r>
        <w:rPr>
          <w:rFonts w:asciiTheme="majorHAnsi" w:hAnsiTheme="majorHAnsi" w:cs="Arial"/>
        </w:rPr>
        <w:t>dding a year to your degree</w:t>
      </w:r>
      <w:r w:rsidRPr="001A389A">
        <w:rPr>
          <w:rFonts w:asciiTheme="majorHAnsi" w:hAnsiTheme="majorHAnsi" w:cs="Arial"/>
        </w:rPr>
        <w:t xml:space="preserve">. The academic year is made up of two semesters, each of which usually incorporates twelve weeks of teaching, one study week, and </w:t>
      </w:r>
      <w:r>
        <w:rPr>
          <w:rFonts w:asciiTheme="majorHAnsi" w:hAnsiTheme="majorHAnsi" w:cs="Arial"/>
        </w:rPr>
        <w:t xml:space="preserve">two to three weeks of </w:t>
      </w:r>
      <w:r w:rsidR="00726AE3">
        <w:rPr>
          <w:rFonts w:asciiTheme="majorHAnsi" w:hAnsiTheme="majorHAnsi" w:cs="Arial"/>
        </w:rPr>
        <w:t>exams. It</w:t>
      </w:r>
      <w:r w:rsidRPr="001A389A">
        <w:rPr>
          <w:rFonts w:asciiTheme="majorHAnsi" w:hAnsiTheme="majorHAnsi" w:cs="Arial"/>
        </w:rPr>
        <w:t xml:space="preserve"> does not equate to a full calendar year. Most final-year students complete </w:t>
      </w:r>
      <w:r w:rsidR="008041F4">
        <w:rPr>
          <w:rFonts w:asciiTheme="majorHAnsi" w:hAnsiTheme="majorHAnsi" w:cs="Arial"/>
        </w:rPr>
        <w:t>a thesis, dissertation or final-</w:t>
      </w:r>
      <w:r w:rsidR="0080717A">
        <w:rPr>
          <w:rFonts w:asciiTheme="majorHAnsi" w:hAnsiTheme="majorHAnsi" w:cs="Arial"/>
        </w:rPr>
        <w:t>year project, often</w:t>
      </w:r>
      <w:r w:rsidRPr="001A389A">
        <w:rPr>
          <w:rFonts w:asciiTheme="majorHAnsi" w:hAnsiTheme="majorHAnsi" w:cs="Arial"/>
        </w:rPr>
        <w:t xml:space="preserve"> over the summer. </w:t>
      </w:r>
    </w:p>
    <w:p w14:paraId="3A7ED85C" w14:textId="640DEE43" w:rsidR="001A389A" w:rsidRPr="001A389A" w:rsidRDefault="00A846C7" w:rsidP="00572F31">
      <w:pPr>
        <w:spacing w:line="360" w:lineRule="auto"/>
        <w:ind w:left="-851" w:right="-772"/>
        <w:rPr>
          <w:rFonts w:asciiTheme="majorHAnsi" w:hAnsiTheme="majorHAnsi" w:cs="Arial"/>
        </w:rPr>
      </w:pPr>
      <w:r>
        <w:rPr>
          <w:rStyle w:val="Heading3Char"/>
          <w:b/>
        </w:rPr>
        <w:t>Course instance</w:t>
      </w:r>
      <w:r w:rsidR="001A389A" w:rsidRPr="001A389A">
        <w:rPr>
          <w:rFonts w:asciiTheme="majorHAnsi" w:hAnsiTheme="majorHAnsi" w:cs="Arial"/>
          <w:b/>
        </w:rPr>
        <w:t>:</w:t>
      </w:r>
      <w:r w:rsidR="001A389A" w:rsidRPr="001A389A">
        <w:rPr>
          <w:rFonts w:asciiTheme="majorHAnsi" w:hAnsiTheme="majorHAnsi" w:cs="Arial"/>
        </w:rPr>
        <w:t xml:space="preserve"> </w:t>
      </w:r>
      <w:r w:rsidR="00572F31">
        <w:rPr>
          <w:rFonts w:asciiTheme="majorHAnsi" w:hAnsiTheme="majorHAnsi" w:cs="Arial"/>
        </w:rPr>
        <w:t xml:space="preserve"> </w:t>
      </w:r>
      <w:r w:rsidR="001A389A" w:rsidRPr="001A389A">
        <w:rPr>
          <w:rFonts w:asciiTheme="majorHAnsi" w:hAnsiTheme="majorHAnsi" w:cs="Arial"/>
        </w:rPr>
        <w:t>Your course instance is a code that summarises your year of study</w:t>
      </w:r>
      <w:r w:rsidR="008041F4">
        <w:rPr>
          <w:rFonts w:asciiTheme="majorHAnsi" w:hAnsiTheme="majorHAnsi" w:cs="Arial"/>
        </w:rPr>
        <w:t xml:space="preserve">, the course that you are taking and, in some instances, a ‘stream’ within a course. </w:t>
      </w:r>
      <w:r w:rsidR="001A389A" w:rsidRPr="001A389A">
        <w:rPr>
          <w:rFonts w:asciiTheme="majorHAnsi" w:hAnsiTheme="majorHAnsi" w:cs="Arial"/>
        </w:rPr>
        <w:t xml:space="preserve">This is not related in any way to the CAO code for your programme. The first number of the </w:t>
      </w:r>
      <w:r w:rsidR="00572F31">
        <w:rPr>
          <w:rFonts w:asciiTheme="majorHAnsi" w:hAnsiTheme="majorHAnsi" w:cs="Arial"/>
        </w:rPr>
        <w:t>code denotes your year of study and</w:t>
      </w:r>
      <w:r w:rsidR="001A389A" w:rsidRPr="001A389A">
        <w:rPr>
          <w:rFonts w:asciiTheme="majorHAnsi" w:hAnsiTheme="majorHAnsi" w:cs="Arial"/>
        </w:rPr>
        <w:t xml:space="preserve"> </w:t>
      </w:r>
      <w:r w:rsidR="00572F31">
        <w:rPr>
          <w:rFonts w:asciiTheme="majorHAnsi" w:hAnsiTheme="majorHAnsi" w:cs="Arial"/>
        </w:rPr>
        <w:t xml:space="preserve">the letters denote your course. </w:t>
      </w:r>
      <w:r w:rsidR="00572F31" w:rsidRPr="001A389A">
        <w:rPr>
          <w:rFonts w:asciiTheme="majorHAnsi" w:hAnsiTheme="majorHAnsi" w:cs="Arial"/>
        </w:rPr>
        <w:t>For example, 1BAJ1 is the unique code for the first year of the Bachelor of Arts with Journalism, while 3BG1 is the unique code for the third year of the Bachelor of Engineering (Biomedical Engineering).</w:t>
      </w:r>
      <w:r w:rsidR="00572F31">
        <w:rPr>
          <w:rFonts w:asciiTheme="majorHAnsi" w:hAnsiTheme="majorHAnsi" w:cs="Arial"/>
        </w:rPr>
        <w:t xml:space="preserve"> </w:t>
      </w:r>
      <w:r>
        <w:rPr>
          <w:rFonts w:asciiTheme="majorHAnsi" w:hAnsiTheme="majorHAnsi" w:cs="Arial"/>
        </w:rPr>
        <w:t>It is</w:t>
      </w:r>
      <w:r w:rsidR="001A389A" w:rsidRPr="001A389A">
        <w:rPr>
          <w:rFonts w:asciiTheme="majorHAnsi" w:hAnsiTheme="majorHAnsi" w:cs="Arial"/>
        </w:rPr>
        <w:t xml:space="preserve"> useful to know your c</w:t>
      </w:r>
      <w:r>
        <w:rPr>
          <w:rFonts w:asciiTheme="majorHAnsi" w:hAnsiTheme="majorHAnsi" w:cs="Arial"/>
        </w:rPr>
        <w:t>ourse instance</w:t>
      </w:r>
      <w:r w:rsidR="001A389A" w:rsidRPr="001A389A">
        <w:rPr>
          <w:rFonts w:asciiTheme="majorHAnsi" w:hAnsiTheme="majorHAnsi" w:cs="Arial"/>
        </w:rPr>
        <w:t>, especially when</w:t>
      </w:r>
      <w:r w:rsidR="002E56AA">
        <w:rPr>
          <w:rFonts w:asciiTheme="majorHAnsi" w:hAnsiTheme="majorHAnsi" w:cs="Arial"/>
        </w:rPr>
        <w:t xml:space="preserve"> figuring out timetables,</w:t>
      </w:r>
      <w:r w:rsidR="001A389A" w:rsidRPr="001A389A">
        <w:rPr>
          <w:rFonts w:asciiTheme="majorHAnsi" w:hAnsiTheme="majorHAnsi" w:cs="Arial"/>
        </w:rPr>
        <w:t xml:space="preserve"> </w:t>
      </w:r>
      <w:r w:rsidR="008041F4">
        <w:rPr>
          <w:rFonts w:asciiTheme="majorHAnsi" w:hAnsiTheme="majorHAnsi" w:cs="Arial"/>
        </w:rPr>
        <w:t>completing forms</w:t>
      </w:r>
      <w:r w:rsidR="00CB3812">
        <w:rPr>
          <w:rFonts w:asciiTheme="majorHAnsi" w:hAnsiTheme="majorHAnsi" w:cs="Arial"/>
        </w:rPr>
        <w:t>,</w:t>
      </w:r>
      <w:r w:rsidR="008041F4">
        <w:rPr>
          <w:rFonts w:asciiTheme="majorHAnsi" w:hAnsiTheme="majorHAnsi" w:cs="Arial"/>
        </w:rPr>
        <w:t xml:space="preserve"> or </w:t>
      </w:r>
      <w:r w:rsidR="001A389A" w:rsidRPr="001A389A">
        <w:rPr>
          <w:rFonts w:asciiTheme="majorHAnsi" w:hAnsiTheme="majorHAnsi" w:cs="Arial"/>
        </w:rPr>
        <w:t xml:space="preserve">searching for past exam papers. </w:t>
      </w:r>
    </w:p>
    <w:p w14:paraId="70201A40" w14:textId="77777777" w:rsidR="00A846C7" w:rsidRDefault="00A846C7" w:rsidP="0080717A">
      <w:pPr>
        <w:ind w:left="-851" w:right="-772"/>
        <w:rPr>
          <w:rStyle w:val="Heading3Char"/>
          <w:b/>
        </w:rPr>
      </w:pPr>
    </w:p>
    <w:p w14:paraId="3A7ED85E" w14:textId="03DE042D" w:rsidR="001A389A" w:rsidRDefault="001A389A" w:rsidP="001A389A">
      <w:pPr>
        <w:spacing w:line="360" w:lineRule="auto"/>
        <w:ind w:left="-851" w:right="-772"/>
        <w:rPr>
          <w:rFonts w:asciiTheme="majorHAnsi" w:hAnsiTheme="majorHAnsi" w:cs="Arial"/>
        </w:rPr>
      </w:pPr>
      <w:r w:rsidRPr="008041F4">
        <w:rPr>
          <w:rStyle w:val="Heading3Char"/>
          <w:b/>
        </w:rPr>
        <w:t>Modules and module codes:</w:t>
      </w:r>
      <w:r w:rsidRPr="001A389A">
        <w:rPr>
          <w:rFonts w:asciiTheme="majorHAnsi" w:hAnsiTheme="majorHAnsi" w:cs="Arial"/>
        </w:rPr>
        <w:t xml:space="preserve"> Each module (or subject) that you take also has a unique code. You will see these codes when you register for individu</w:t>
      </w:r>
      <w:r w:rsidR="008A2B5A">
        <w:rPr>
          <w:rFonts w:asciiTheme="majorHAnsi" w:hAnsiTheme="majorHAnsi" w:cs="Arial"/>
        </w:rPr>
        <w:t>al modules, log in to Canvas</w:t>
      </w:r>
      <w:r w:rsidRPr="001A389A">
        <w:rPr>
          <w:rFonts w:asciiTheme="majorHAnsi" w:hAnsiTheme="majorHAnsi" w:cs="Arial"/>
        </w:rPr>
        <w:t>, or consult past exa</w:t>
      </w:r>
      <w:r w:rsidR="00572F31">
        <w:rPr>
          <w:rFonts w:asciiTheme="majorHAnsi" w:hAnsiTheme="majorHAnsi" w:cs="Arial"/>
        </w:rPr>
        <w:t xml:space="preserve">m papers. The module code is </w:t>
      </w:r>
      <w:r w:rsidRPr="001A389A">
        <w:rPr>
          <w:rFonts w:asciiTheme="majorHAnsi" w:hAnsiTheme="majorHAnsi" w:cs="Arial"/>
        </w:rPr>
        <w:t>made up of some letters that denote the subject area (for example, AC for Ancient Classics or OC for Oceanography) followed by some numbers</w:t>
      </w:r>
      <w:r w:rsidR="00572F31">
        <w:rPr>
          <w:rFonts w:asciiTheme="majorHAnsi" w:hAnsiTheme="majorHAnsi" w:cs="Arial"/>
        </w:rPr>
        <w:t xml:space="preserve">. </w:t>
      </w:r>
      <w:r w:rsidRPr="001A389A">
        <w:rPr>
          <w:rFonts w:asciiTheme="majorHAnsi" w:hAnsiTheme="majorHAnsi" w:cs="Arial"/>
        </w:rPr>
        <w:t>For example, the module code SP159 is the unique code denoting the module Concepts and Practices</w:t>
      </w:r>
      <w:r w:rsidR="002E56AA">
        <w:rPr>
          <w:rFonts w:asciiTheme="majorHAnsi" w:hAnsiTheme="majorHAnsi" w:cs="Arial"/>
        </w:rPr>
        <w:t xml:space="preserve"> of </w:t>
      </w:r>
      <w:r w:rsidRPr="001A389A">
        <w:rPr>
          <w:rFonts w:asciiTheme="majorHAnsi" w:hAnsiTheme="majorHAnsi" w:cs="Arial"/>
        </w:rPr>
        <w:t>P</w:t>
      </w:r>
      <w:r w:rsidR="00572F31">
        <w:rPr>
          <w:rFonts w:asciiTheme="majorHAnsi" w:hAnsiTheme="majorHAnsi" w:cs="Arial"/>
        </w:rPr>
        <w:t>olitics &amp; S</w:t>
      </w:r>
      <w:r w:rsidR="002E56AA">
        <w:rPr>
          <w:rFonts w:asciiTheme="majorHAnsi" w:hAnsiTheme="majorHAnsi" w:cs="Arial"/>
        </w:rPr>
        <w:t>ociology</w:t>
      </w:r>
      <w:r w:rsidRPr="001A389A">
        <w:rPr>
          <w:rFonts w:asciiTheme="majorHAnsi" w:hAnsiTheme="majorHAnsi" w:cs="Arial"/>
        </w:rPr>
        <w:t>, while the module code NS30</w:t>
      </w:r>
      <w:r w:rsidR="002E56AA">
        <w:rPr>
          <w:rFonts w:asciiTheme="majorHAnsi" w:hAnsiTheme="majorHAnsi" w:cs="Arial"/>
        </w:rPr>
        <w:t>8</w:t>
      </w:r>
      <w:r w:rsidRPr="001A389A">
        <w:rPr>
          <w:rFonts w:asciiTheme="majorHAnsi" w:hAnsiTheme="majorHAnsi" w:cs="Arial"/>
        </w:rPr>
        <w:t xml:space="preserve"> de</w:t>
      </w:r>
      <w:r w:rsidR="002E56AA">
        <w:rPr>
          <w:rFonts w:asciiTheme="majorHAnsi" w:hAnsiTheme="majorHAnsi" w:cs="Arial"/>
        </w:rPr>
        <w:t>notes the module Neuroscience</w:t>
      </w:r>
      <w:r w:rsidRPr="001A389A">
        <w:rPr>
          <w:rFonts w:asciiTheme="majorHAnsi" w:hAnsiTheme="majorHAnsi" w:cs="Arial"/>
        </w:rPr>
        <w:t xml:space="preserve">. </w:t>
      </w:r>
      <w:r w:rsidR="00655087">
        <w:rPr>
          <w:rFonts w:asciiTheme="majorHAnsi" w:hAnsiTheme="majorHAnsi" w:cs="Arial"/>
        </w:rPr>
        <w:t>Again, it’s helpful to know these codes, especially when searching for past exam papers.</w:t>
      </w:r>
    </w:p>
    <w:p w14:paraId="3A7ED85F" w14:textId="77777777" w:rsidR="001A389A" w:rsidRPr="001A389A" w:rsidRDefault="001A389A" w:rsidP="00764605">
      <w:pPr>
        <w:ind w:left="-851" w:right="-772"/>
        <w:rPr>
          <w:rFonts w:asciiTheme="majorHAnsi" w:hAnsiTheme="majorHAnsi" w:cs="Arial"/>
        </w:rPr>
      </w:pPr>
    </w:p>
    <w:p w14:paraId="3A7ED860" w14:textId="78A4898C" w:rsidR="001A389A" w:rsidRDefault="001A389A" w:rsidP="00A14911">
      <w:pPr>
        <w:spacing w:before="240" w:line="360" w:lineRule="auto"/>
        <w:ind w:left="-851" w:right="-772"/>
        <w:rPr>
          <w:rFonts w:asciiTheme="majorHAnsi" w:hAnsiTheme="majorHAnsi" w:cs="Arial"/>
        </w:rPr>
      </w:pPr>
      <w:r w:rsidRPr="008041F4">
        <w:rPr>
          <w:rStyle w:val="Heading3Char"/>
          <w:b/>
        </w:rPr>
        <w:t>ECTS (European Credit Transfer and Accumulation System):</w:t>
      </w:r>
      <w:r w:rsidRPr="001A389A">
        <w:rPr>
          <w:rFonts w:asciiTheme="majorHAnsi" w:hAnsiTheme="majorHAnsi" w:cs="Arial"/>
          <w:b/>
        </w:rPr>
        <w:t xml:space="preserve"> </w:t>
      </w:r>
      <w:r w:rsidRPr="001A389A">
        <w:rPr>
          <w:rFonts w:asciiTheme="majorHAnsi" w:hAnsiTheme="majorHAnsi" w:cs="Arial"/>
        </w:rPr>
        <w:t>ECTS are a measure of the work that the averag</w:t>
      </w:r>
      <w:r w:rsidR="004D7E6D">
        <w:rPr>
          <w:rFonts w:asciiTheme="majorHAnsi" w:hAnsiTheme="majorHAnsi" w:cs="Arial"/>
        </w:rPr>
        <w:t>e student will complete</w:t>
      </w:r>
      <w:r w:rsidRPr="001A389A">
        <w:rPr>
          <w:rFonts w:asciiTheme="majorHAnsi" w:hAnsiTheme="majorHAnsi" w:cs="Arial"/>
        </w:rPr>
        <w:t xml:space="preserve"> to achieve the learning outcomes for a specific module. Each module is assigned a number of ECTS or credits – usually 5, </w:t>
      </w:r>
      <w:r w:rsidR="00572F31">
        <w:rPr>
          <w:rFonts w:asciiTheme="majorHAnsi" w:hAnsiTheme="majorHAnsi" w:cs="Arial"/>
        </w:rPr>
        <w:t>but sometimes 10</w:t>
      </w:r>
      <w:r w:rsidR="008041F4">
        <w:rPr>
          <w:rFonts w:asciiTheme="majorHAnsi" w:hAnsiTheme="majorHAnsi" w:cs="Arial"/>
        </w:rPr>
        <w:t xml:space="preserve"> or 15. F</w:t>
      </w:r>
      <w:r w:rsidRPr="001A389A">
        <w:rPr>
          <w:rFonts w:asciiTheme="majorHAnsi" w:hAnsiTheme="majorHAnsi" w:cs="Arial"/>
        </w:rPr>
        <w:t>ull-t</w:t>
      </w:r>
      <w:r w:rsidR="002C0035">
        <w:rPr>
          <w:rFonts w:asciiTheme="majorHAnsi" w:hAnsiTheme="majorHAnsi" w:cs="Arial"/>
        </w:rPr>
        <w:t>ime undergraduate students</w:t>
      </w:r>
      <w:r w:rsidR="008041F4">
        <w:rPr>
          <w:rFonts w:asciiTheme="majorHAnsi" w:hAnsiTheme="majorHAnsi" w:cs="Arial"/>
        </w:rPr>
        <w:t xml:space="preserve"> usually</w:t>
      </w:r>
      <w:r w:rsidR="002C0035">
        <w:rPr>
          <w:rFonts w:asciiTheme="majorHAnsi" w:hAnsiTheme="majorHAnsi" w:cs="Arial"/>
        </w:rPr>
        <w:t xml:space="preserve"> </w:t>
      </w:r>
      <w:r w:rsidRPr="001A389A">
        <w:rPr>
          <w:rFonts w:asciiTheme="majorHAnsi" w:hAnsiTheme="majorHAnsi" w:cs="Arial"/>
        </w:rPr>
        <w:t>take a maximum of 60 ECTS</w:t>
      </w:r>
      <w:r w:rsidR="00E51121">
        <w:rPr>
          <w:rFonts w:asciiTheme="majorHAnsi" w:hAnsiTheme="majorHAnsi" w:cs="Arial"/>
        </w:rPr>
        <w:t>, and postgraduate students 90 ECTS, per academic year</w:t>
      </w:r>
      <w:r w:rsidRPr="001A389A">
        <w:rPr>
          <w:rFonts w:asciiTheme="majorHAnsi" w:hAnsiTheme="majorHAnsi" w:cs="Arial"/>
        </w:rPr>
        <w:t>. ECTS help to make courses and qualifications comparable across the European Higher Education Area</w:t>
      </w:r>
      <w:r w:rsidR="008A2B5A">
        <w:rPr>
          <w:rFonts w:asciiTheme="majorHAnsi" w:hAnsiTheme="majorHAnsi" w:cs="Arial"/>
        </w:rPr>
        <w:t xml:space="preserve"> (EHEA) and beyond. As a</w:t>
      </w:r>
      <w:r w:rsidRPr="001A389A">
        <w:rPr>
          <w:rFonts w:asciiTheme="majorHAnsi" w:hAnsiTheme="majorHAnsi" w:cs="Arial"/>
        </w:rPr>
        <w:t xml:space="preserve"> rule of thumb, one credit corre</w:t>
      </w:r>
      <w:r w:rsidR="00572F31">
        <w:rPr>
          <w:rFonts w:asciiTheme="majorHAnsi" w:hAnsiTheme="majorHAnsi" w:cs="Arial"/>
        </w:rPr>
        <w:t>sponds to 25 – 30 hours of work</w:t>
      </w:r>
      <w:r w:rsidR="004D7E6D">
        <w:rPr>
          <w:rFonts w:asciiTheme="majorHAnsi" w:hAnsiTheme="majorHAnsi" w:cs="Arial"/>
        </w:rPr>
        <w:t xml:space="preserve">, so </w:t>
      </w:r>
      <w:r w:rsidRPr="001A389A">
        <w:rPr>
          <w:rFonts w:asciiTheme="majorHAnsi" w:hAnsiTheme="majorHAnsi" w:cs="Arial"/>
        </w:rPr>
        <w:t xml:space="preserve">full-time </w:t>
      </w:r>
      <w:r w:rsidR="00075DB2">
        <w:rPr>
          <w:rFonts w:asciiTheme="majorHAnsi" w:hAnsiTheme="majorHAnsi" w:cs="Arial"/>
        </w:rPr>
        <w:t xml:space="preserve">undergraduate </w:t>
      </w:r>
      <w:r w:rsidRPr="001A389A">
        <w:rPr>
          <w:rFonts w:asciiTheme="majorHAnsi" w:hAnsiTheme="majorHAnsi" w:cs="Arial"/>
        </w:rPr>
        <w:t>students are looking at a commitment of between 1,500 and 1,800 hours in the academi</w:t>
      </w:r>
      <w:r w:rsidR="00075DB2">
        <w:rPr>
          <w:rFonts w:asciiTheme="majorHAnsi" w:hAnsiTheme="majorHAnsi" w:cs="Arial"/>
        </w:rPr>
        <w:t>c year</w:t>
      </w:r>
      <w:r w:rsidR="004D7E6D">
        <w:rPr>
          <w:rFonts w:asciiTheme="majorHAnsi" w:hAnsiTheme="majorHAnsi" w:cs="Arial"/>
        </w:rPr>
        <w:t>. This includes classes, tutorials, labs, and exams</w:t>
      </w:r>
      <w:r w:rsidR="006E0A01">
        <w:rPr>
          <w:rFonts w:asciiTheme="majorHAnsi" w:hAnsiTheme="majorHAnsi" w:cs="Arial"/>
        </w:rPr>
        <w:t>,</w:t>
      </w:r>
      <w:r w:rsidR="004D7E6D">
        <w:rPr>
          <w:rFonts w:asciiTheme="majorHAnsi" w:hAnsiTheme="majorHAnsi" w:cs="Arial"/>
        </w:rPr>
        <w:t xml:space="preserve"> </w:t>
      </w:r>
      <w:r w:rsidRPr="001A389A">
        <w:rPr>
          <w:rFonts w:asciiTheme="majorHAnsi" w:hAnsiTheme="majorHAnsi" w:cs="Arial"/>
        </w:rPr>
        <w:t>as well as studying and c</w:t>
      </w:r>
      <w:r w:rsidR="00075DB2">
        <w:rPr>
          <w:rFonts w:asciiTheme="majorHAnsi" w:hAnsiTheme="majorHAnsi" w:cs="Arial"/>
        </w:rPr>
        <w:t>ompleting coursework</w:t>
      </w:r>
      <w:r w:rsidR="00572F31">
        <w:rPr>
          <w:rFonts w:asciiTheme="majorHAnsi" w:hAnsiTheme="majorHAnsi" w:cs="Arial"/>
        </w:rPr>
        <w:t>.  As people le</w:t>
      </w:r>
      <w:r w:rsidR="008041F4">
        <w:rPr>
          <w:rFonts w:asciiTheme="majorHAnsi" w:hAnsiTheme="majorHAnsi" w:cs="Arial"/>
        </w:rPr>
        <w:t>arn at different paces, you may</w:t>
      </w:r>
      <w:r w:rsidRPr="001A389A">
        <w:rPr>
          <w:rFonts w:asciiTheme="majorHAnsi" w:hAnsiTheme="majorHAnsi" w:cs="Arial"/>
        </w:rPr>
        <w:t xml:space="preserve"> need more or less time than this. </w:t>
      </w:r>
    </w:p>
    <w:p w14:paraId="3CBCD87E" w14:textId="77777777" w:rsidR="008A2B5A" w:rsidRDefault="008A2B5A" w:rsidP="0080717A">
      <w:pPr>
        <w:ind w:left="-851" w:right="-772"/>
        <w:rPr>
          <w:rFonts w:asciiTheme="majorHAnsi" w:hAnsiTheme="majorHAnsi" w:cs="Arial"/>
          <w:b/>
        </w:rPr>
      </w:pPr>
    </w:p>
    <w:p w14:paraId="3A7ED864" w14:textId="0DE5905A" w:rsidR="001A389A" w:rsidRDefault="001A389A" w:rsidP="001A389A">
      <w:pPr>
        <w:spacing w:line="360" w:lineRule="auto"/>
        <w:ind w:left="-851" w:right="-772"/>
        <w:rPr>
          <w:rFonts w:asciiTheme="majorHAnsi" w:hAnsiTheme="majorHAnsi" w:cs="Arial"/>
          <w:noProof/>
        </w:rPr>
      </w:pPr>
      <w:r w:rsidRPr="008041F4">
        <w:rPr>
          <w:rStyle w:val="Heading3Char"/>
          <w:b/>
        </w:rPr>
        <w:t>‘Course’ outlines:</w:t>
      </w:r>
      <w:r w:rsidRPr="001A389A">
        <w:rPr>
          <w:rFonts w:asciiTheme="majorHAnsi" w:hAnsiTheme="majorHAnsi" w:cs="Arial"/>
          <w:b/>
        </w:rPr>
        <w:t xml:space="preserve"> </w:t>
      </w:r>
      <w:r w:rsidRPr="001A389A">
        <w:rPr>
          <w:rFonts w:asciiTheme="majorHAnsi" w:hAnsiTheme="majorHAnsi" w:cs="Arial"/>
        </w:rPr>
        <w:t>Many lecturers will provide ‘course’ (more properly called ‘mod</w:t>
      </w:r>
      <w:r w:rsidR="007A6D96">
        <w:rPr>
          <w:rFonts w:asciiTheme="majorHAnsi" w:hAnsiTheme="majorHAnsi" w:cs="Arial"/>
        </w:rPr>
        <w:t xml:space="preserve">ule’) outlines, </w:t>
      </w:r>
      <w:r w:rsidRPr="001A389A">
        <w:rPr>
          <w:rFonts w:asciiTheme="majorHAnsi" w:hAnsiTheme="majorHAnsi" w:cs="Arial"/>
        </w:rPr>
        <w:t>set</w:t>
      </w:r>
      <w:r w:rsidR="007A6D96">
        <w:rPr>
          <w:rFonts w:asciiTheme="majorHAnsi" w:hAnsiTheme="majorHAnsi" w:cs="Arial"/>
        </w:rPr>
        <w:t>ting</w:t>
      </w:r>
      <w:r w:rsidRPr="001A389A">
        <w:rPr>
          <w:rFonts w:asciiTheme="majorHAnsi" w:hAnsiTheme="majorHAnsi" w:cs="Arial"/>
        </w:rPr>
        <w:t xml:space="preserve"> out information such as the learni</w:t>
      </w:r>
      <w:r w:rsidR="007A6D96">
        <w:rPr>
          <w:rFonts w:asciiTheme="majorHAnsi" w:hAnsiTheme="majorHAnsi" w:cs="Arial"/>
        </w:rPr>
        <w:t>ng outcomes you are expected to</w:t>
      </w:r>
      <w:r w:rsidRPr="001A389A">
        <w:rPr>
          <w:rFonts w:asciiTheme="majorHAnsi" w:hAnsiTheme="majorHAnsi" w:cs="Arial"/>
        </w:rPr>
        <w:t xml:space="preserve"> </w:t>
      </w:r>
      <w:r w:rsidRPr="001A389A">
        <w:rPr>
          <w:rFonts w:asciiTheme="majorHAnsi" w:hAnsiTheme="majorHAnsi" w:cs="Arial"/>
          <w:noProof/>
        </w:rPr>
        <w:t xml:space="preserve">achieve, the topics that will be covered, details of assignments, coursework and exams, and, possibly, reading lists, for </w:t>
      </w:r>
      <w:r w:rsidR="00726AE3">
        <w:rPr>
          <w:rFonts w:asciiTheme="majorHAnsi" w:hAnsiTheme="majorHAnsi" w:cs="Arial"/>
          <w:noProof/>
        </w:rPr>
        <w:t>their modules. These</w:t>
      </w:r>
      <w:r w:rsidRPr="001A389A">
        <w:rPr>
          <w:rFonts w:asciiTheme="majorHAnsi" w:hAnsiTheme="majorHAnsi" w:cs="Arial"/>
          <w:noProof/>
        </w:rPr>
        <w:t xml:space="preserve"> are key documents: make sure that you find, read, </w:t>
      </w:r>
      <w:r w:rsidR="00085D1D">
        <w:rPr>
          <w:rFonts w:asciiTheme="majorHAnsi" w:hAnsiTheme="majorHAnsi" w:cs="Arial"/>
          <w:noProof/>
        </w:rPr>
        <w:t>and save</w:t>
      </w:r>
      <w:r w:rsidRPr="001A389A">
        <w:rPr>
          <w:rFonts w:asciiTheme="majorHAnsi" w:hAnsiTheme="majorHAnsi" w:cs="Arial"/>
          <w:noProof/>
        </w:rPr>
        <w:t xml:space="preserve"> them. </w:t>
      </w:r>
    </w:p>
    <w:p w14:paraId="3A7ED865" w14:textId="77777777" w:rsidR="002C0035" w:rsidRDefault="002C0035" w:rsidP="00764605">
      <w:pPr>
        <w:ind w:left="-851" w:right="-772"/>
        <w:rPr>
          <w:rFonts w:asciiTheme="majorHAnsi" w:hAnsiTheme="majorHAnsi" w:cs="Arial"/>
          <w:b/>
        </w:rPr>
      </w:pPr>
    </w:p>
    <w:p w14:paraId="140E01E1" w14:textId="67D89292" w:rsidR="004D7E6D" w:rsidRPr="0080717A" w:rsidRDefault="00764605" w:rsidP="0080717A">
      <w:pPr>
        <w:spacing w:line="360" w:lineRule="auto"/>
        <w:ind w:left="-851" w:right="-772"/>
        <w:rPr>
          <w:rFonts w:asciiTheme="majorHAnsi" w:hAnsiTheme="majorHAnsi" w:cstheme="majorHAnsi"/>
        </w:rPr>
      </w:pPr>
      <w:r w:rsidRPr="008041F4">
        <w:rPr>
          <w:rStyle w:val="Heading3Char"/>
          <w:b/>
        </w:rPr>
        <w:t>Grading system:</w:t>
      </w:r>
      <w:r w:rsidRPr="001A389A">
        <w:rPr>
          <w:rFonts w:asciiTheme="majorHAnsi" w:hAnsiTheme="majorHAnsi" w:cs="Arial"/>
        </w:rPr>
        <w:t xml:space="preserve"> Grading systems </w:t>
      </w:r>
      <w:r>
        <w:rPr>
          <w:rFonts w:asciiTheme="majorHAnsi" w:hAnsiTheme="majorHAnsi" w:cs="Arial"/>
        </w:rPr>
        <w:t>at university differ from those</w:t>
      </w:r>
      <w:r w:rsidRPr="001A389A">
        <w:rPr>
          <w:rFonts w:asciiTheme="majorHAnsi" w:hAnsiTheme="majorHAnsi" w:cs="Arial"/>
        </w:rPr>
        <w:t xml:space="preserve"> in schools and other educational settings. </w:t>
      </w:r>
      <w:r>
        <w:rPr>
          <w:rFonts w:asciiTheme="majorHAnsi" w:hAnsiTheme="majorHAnsi" w:cs="Arial"/>
        </w:rPr>
        <w:t xml:space="preserve">Some </w:t>
      </w:r>
      <w:r w:rsidRPr="001A389A">
        <w:rPr>
          <w:rFonts w:asciiTheme="majorHAnsi" w:hAnsiTheme="majorHAnsi" w:cs="Arial"/>
          <w:noProof/>
        </w:rPr>
        <w:t>lecturers</w:t>
      </w:r>
      <w:r w:rsidRPr="001A389A">
        <w:rPr>
          <w:rFonts w:asciiTheme="majorHAnsi" w:hAnsiTheme="majorHAnsi" w:cs="Arial"/>
        </w:rPr>
        <w:t xml:space="preserve"> and tutors may give you a percentage mark, others a ‘letter’ gra</w:t>
      </w:r>
      <w:r w:rsidR="0080717A">
        <w:rPr>
          <w:rFonts w:asciiTheme="majorHAnsi" w:hAnsiTheme="majorHAnsi" w:cs="Arial"/>
        </w:rPr>
        <w:t>de, and still others an</w:t>
      </w:r>
      <w:r w:rsidRPr="001A389A">
        <w:rPr>
          <w:rFonts w:asciiTheme="majorHAnsi" w:hAnsiTheme="majorHAnsi" w:cs="Arial"/>
        </w:rPr>
        <w:t xml:space="preserve"> ‘honours’ grade</w:t>
      </w:r>
      <w:r w:rsidR="0080717A">
        <w:rPr>
          <w:rFonts w:asciiTheme="majorHAnsi" w:hAnsiTheme="majorHAnsi" w:cs="Arial"/>
        </w:rPr>
        <w:t xml:space="preserve"> for your work</w:t>
      </w:r>
      <w:r>
        <w:rPr>
          <w:rFonts w:asciiTheme="majorHAnsi" w:hAnsiTheme="majorHAnsi" w:cs="Arial"/>
        </w:rPr>
        <w:t xml:space="preserve">. </w:t>
      </w:r>
      <w:r w:rsidR="00A846C7" w:rsidRPr="0080717A">
        <w:rPr>
          <w:rFonts w:asciiTheme="majorHAnsi" w:hAnsiTheme="majorHAnsi" w:cstheme="majorHAnsi"/>
        </w:rPr>
        <w:t xml:space="preserve">For most modules, 40% is the pass mark, but there are exceptions (for example, in Medicine and Health Science programmes, the pass mark is 50%). </w:t>
      </w:r>
      <w:r w:rsidR="0080717A">
        <w:rPr>
          <w:rFonts w:asciiTheme="majorHAnsi" w:hAnsiTheme="majorHAnsi" w:cstheme="majorHAnsi"/>
        </w:rPr>
        <w:t>You can find out more about</w:t>
      </w:r>
      <w:r w:rsidR="00A846C7" w:rsidRPr="0080717A">
        <w:rPr>
          <w:rFonts w:asciiTheme="majorHAnsi" w:hAnsiTheme="majorHAnsi" w:cstheme="majorHAnsi"/>
        </w:rPr>
        <w:t xml:space="preserve"> </w:t>
      </w:r>
      <w:r w:rsidR="0080717A">
        <w:rPr>
          <w:rFonts w:asciiTheme="majorHAnsi" w:hAnsiTheme="majorHAnsi" w:cstheme="majorHAnsi"/>
        </w:rPr>
        <w:t>grades, pass marks, and much more</w:t>
      </w:r>
      <w:r w:rsidR="006E0A01">
        <w:rPr>
          <w:rFonts w:asciiTheme="majorHAnsi" w:hAnsiTheme="majorHAnsi" w:cstheme="majorHAnsi"/>
        </w:rPr>
        <w:t>,</w:t>
      </w:r>
      <w:r w:rsidR="0080717A">
        <w:rPr>
          <w:rFonts w:asciiTheme="majorHAnsi" w:hAnsiTheme="majorHAnsi" w:cstheme="majorHAnsi"/>
        </w:rPr>
        <w:t xml:space="preserve"> </w:t>
      </w:r>
      <w:r w:rsidR="00A846C7" w:rsidRPr="0080717A">
        <w:rPr>
          <w:rFonts w:asciiTheme="majorHAnsi" w:hAnsiTheme="majorHAnsi" w:cstheme="majorHAnsi"/>
        </w:rPr>
        <w:t xml:space="preserve">by consulting the undergraduate and postgraduate </w:t>
      </w:r>
      <w:hyperlink r:id="rId11" w:history="1">
        <w:r w:rsidR="00A846C7" w:rsidRPr="0080717A">
          <w:rPr>
            <w:rStyle w:val="Hyperlink"/>
            <w:rFonts w:asciiTheme="majorHAnsi" w:hAnsiTheme="majorHAnsi" w:cstheme="majorHAnsi"/>
          </w:rPr>
          <w:t>Marks and Standards</w:t>
        </w:r>
      </w:hyperlink>
      <w:r w:rsidR="004D7E6D" w:rsidRPr="0080717A">
        <w:rPr>
          <w:rFonts w:asciiTheme="majorHAnsi" w:hAnsiTheme="majorHAnsi" w:cstheme="majorHAnsi"/>
        </w:rPr>
        <w:t xml:space="preserve">. </w:t>
      </w:r>
    </w:p>
    <w:p w14:paraId="1D201E2A" w14:textId="6AD42E2E" w:rsidR="00075DB2" w:rsidRPr="00E20509" w:rsidRDefault="00075DB2" w:rsidP="0080717A">
      <w:pPr>
        <w:spacing w:line="276" w:lineRule="auto"/>
        <w:rPr>
          <w:rStyle w:val="Heading3Char"/>
        </w:rPr>
      </w:pPr>
    </w:p>
    <w:p w14:paraId="4114A97A" w14:textId="3892D7AF" w:rsidR="00A846C7" w:rsidRDefault="008041F4" w:rsidP="00A14911">
      <w:pPr>
        <w:spacing w:line="360" w:lineRule="auto"/>
        <w:ind w:left="-851" w:right="-772"/>
        <w:rPr>
          <w:b/>
        </w:rPr>
      </w:pPr>
      <w:r w:rsidRPr="008041F4">
        <w:rPr>
          <w:rStyle w:val="Heading3Char"/>
          <w:b/>
        </w:rPr>
        <w:t>W</w:t>
      </w:r>
      <w:r w:rsidR="001A389A" w:rsidRPr="008041F4">
        <w:rPr>
          <w:rStyle w:val="Heading3Char"/>
          <w:b/>
        </w:rPr>
        <w:t>ork placement, work-based learning, and study abroad:</w:t>
      </w:r>
      <w:r w:rsidR="001A389A" w:rsidRPr="001A389A">
        <w:rPr>
          <w:rFonts w:asciiTheme="majorHAnsi" w:hAnsiTheme="majorHAnsi" w:cs="Arial"/>
        </w:rPr>
        <w:t xml:space="preserve"> Some courses have built-in work placement requirements or </w:t>
      </w:r>
      <w:r w:rsidR="00726AE3">
        <w:rPr>
          <w:rFonts w:asciiTheme="majorHAnsi" w:hAnsiTheme="majorHAnsi" w:cs="Arial"/>
        </w:rPr>
        <w:t>opportunities to work or study abroad. Other courses m</w:t>
      </w:r>
      <w:r w:rsidR="001A389A" w:rsidRPr="001A389A">
        <w:rPr>
          <w:rFonts w:asciiTheme="majorHAnsi" w:hAnsiTheme="majorHAnsi" w:cs="Arial"/>
        </w:rPr>
        <w:t xml:space="preserve">ay allow you to apply or compete for such opportunities. If you are studying Nursing or Medicine, for example, you will be required to spend a significant amount of time in health care settings. If you are taking a course such as the Bachelor of Commerce (International Hotel </w:t>
      </w:r>
      <w:r w:rsidR="001A389A" w:rsidRPr="001A389A">
        <w:rPr>
          <w:rFonts w:asciiTheme="majorHAnsi" w:hAnsiTheme="majorHAnsi" w:cs="Arial"/>
          <w:noProof/>
        </w:rPr>
        <w:t>Management),</w:t>
      </w:r>
      <w:r w:rsidR="001A389A" w:rsidRPr="001A389A">
        <w:rPr>
          <w:rFonts w:asciiTheme="majorHAnsi" w:hAnsiTheme="majorHAnsi" w:cs="Arial"/>
        </w:rPr>
        <w:t xml:space="preserve"> or studying a language to de</w:t>
      </w:r>
      <w:r w:rsidR="00A846C7">
        <w:rPr>
          <w:rFonts w:asciiTheme="majorHAnsi" w:hAnsiTheme="majorHAnsi" w:cs="Arial"/>
        </w:rPr>
        <w:t>gree level, you will spend</w:t>
      </w:r>
      <w:r w:rsidR="001A389A" w:rsidRPr="001A389A">
        <w:rPr>
          <w:rFonts w:asciiTheme="majorHAnsi" w:hAnsiTheme="majorHAnsi" w:cs="Arial"/>
        </w:rPr>
        <w:t xml:space="preserve"> at least one semester or year abroad.</w:t>
      </w:r>
      <w:r w:rsidR="00655087">
        <w:rPr>
          <w:rFonts w:asciiTheme="majorHAnsi" w:hAnsiTheme="majorHAnsi" w:cs="Arial"/>
        </w:rPr>
        <w:t xml:space="preserve"> S</w:t>
      </w:r>
      <w:r w:rsidR="001A389A" w:rsidRPr="001A389A">
        <w:rPr>
          <w:rFonts w:asciiTheme="majorHAnsi" w:hAnsiTheme="majorHAnsi" w:cs="Arial"/>
        </w:rPr>
        <w:t>econd</w:t>
      </w:r>
      <w:r w:rsidR="00726AE3">
        <w:rPr>
          <w:rFonts w:asciiTheme="majorHAnsi" w:hAnsiTheme="majorHAnsi" w:cs="Arial"/>
        </w:rPr>
        <w:t>-</w:t>
      </w:r>
      <w:r w:rsidR="001A389A" w:rsidRPr="001A389A">
        <w:rPr>
          <w:rFonts w:asciiTheme="majorHAnsi" w:hAnsiTheme="majorHAnsi" w:cs="Arial"/>
        </w:rPr>
        <w:t xml:space="preserve">year Arts and Commerce students can apply to spend a year in the US or in Europe, studying through English. </w:t>
      </w:r>
    </w:p>
    <w:p w14:paraId="3A7ED87E" w14:textId="33F19B08" w:rsidR="002F0D58" w:rsidRPr="00A846C7" w:rsidRDefault="00655087" w:rsidP="00A14911">
      <w:pPr>
        <w:spacing w:before="240" w:after="240"/>
        <w:ind w:right="-772" w:hanging="851"/>
        <w:jc w:val="center"/>
        <w:rPr>
          <w:rFonts w:asciiTheme="majorHAnsi" w:hAnsiTheme="majorHAnsi"/>
          <w:b/>
        </w:rPr>
      </w:pPr>
      <w:r w:rsidRPr="00A846C7">
        <w:rPr>
          <w:rFonts w:asciiTheme="majorHAnsi" w:hAnsiTheme="majorHAnsi"/>
          <w:b/>
        </w:rPr>
        <w:t>Supported by the</w:t>
      </w:r>
      <w:r w:rsidR="002F0D58" w:rsidRPr="00A846C7">
        <w:rPr>
          <w:rFonts w:asciiTheme="majorHAnsi" w:hAnsiTheme="majorHAnsi"/>
          <w:b/>
        </w:rPr>
        <w:t xml:space="preserve"> Student Project Fund</w:t>
      </w:r>
    </w:p>
    <w:sectPr w:rsidR="002F0D58" w:rsidRPr="00A846C7" w:rsidSect="00E20509">
      <w:headerReference w:type="default" r:id="rId12"/>
      <w:footerReference w:type="default" r:id="rId13"/>
      <w:pgSz w:w="11900" w:h="16840"/>
      <w:pgMar w:top="1440" w:right="1800" w:bottom="1440"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ED884" w14:textId="77777777" w:rsidR="00924AD1" w:rsidRDefault="00924AD1" w:rsidP="00924AD1">
      <w:r>
        <w:separator/>
      </w:r>
    </w:p>
  </w:endnote>
  <w:endnote w:type="continuationSeparator" w:id="0">
    <w:p w14:paraId="3A7ED885" w14:textId="77777777" w:rsidR="00924AD1" w:rsidRDefault="00924AD1" w:rsidP="0092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510682"/>
      <w:docPartObj>
        <w:docPartGallery w:val="Page Numbers (Bottom of Page)"/>
        <w:docPartUnique/>
      </w:docPartObj>
    </w:sdtPr>
    <w:sdtEndPr>
      <w:rPr>
        <w:rFonts w:ascii="Calibri" w:hAnsi="Calibri"/>
        <w:noProof/>
      </w:rPr>
    </w:sdtEndPr>
    <w:sdtContent>
      <w:p w14:paraId="3A7ED887" w14:textId="1F88E124" w:rsidR="00572F31" w:rsidRPr="00572F31" w:rsidRDefault="00572F31">
        <w:pPr>
          <w:pStyle w:val="Footer"/>
          <w:jc w:val="center"/>
          <w:rPr>
            <w:rFonts w:ascii="Calibri" w:hAnsi="Calibri"/>
          </w:rPr>
        </w:pPr>
        <w:r w:rsidRPr="00572F31">
          <w:rPr>
            <w:rFonts w:ascii="Calibri" w:hAnsi="Calibri"/>
          </w:rPr>
          <w:fldChar w:fldCharType="begin"/>
        </w:r>
        <w:r w:rsidRPr="00572F31">
          <w:rPr>
            <w:rFonts w:ascii="Calibri" w:hAnsi="Calibri"/>
          </w:rPr>
          <w:instrText xml:space="preserve"> PAGE   \* MERGEFORMAT </w:instrText>
        </w:r>
        <w:r w:rsidRPr="00572F31">
          <w:rPr>
            <w:rFonts w:ascii="Calibri" w:hAnsi="Calibri"/>
          </w:rPr>
          <w:fldChar w:fldCharType="separate"/>
        </w:r>
        <w:r w:rsidR="006A3125">
          <w:rPr>
            <w:rFonts w:ascii="Calibri" w:hAnsi="Calibri"/>
            <w:noProof/>
          </w:rPr>
          <w:t>1</w:t>
        </w:r>
        <w:r w:rsidRPr="00572F31">
          <w:rPr>
            <w:rFonts w:ascii="Calibri" w:hAnsi="Calibri"/>
            <w:noProof/>
          </w:rPr>
          <w:fldChar w:fldCharType="end"/>
        </w:r>
      </w:p>
    </w:sdtContent>
  </w:sdt>
  <w:p w14:paraId="3A7ED888" w14:textId="77777777" w:rsidR="00572F31" w:rsidRDefault="00572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ED882" w14:textId="77777777" w:rsidR="00924AD1" w:rsidRDefault="00924AD1" w:rsidP="00924AD1">
      <w:r>
        <w:separator/>
      </w:r>
    </w:p>
  </w:footnote>
  <w:footnote w:type="continuationSeparator" w:id="0">
    <w:p w14:paraId="3A7ED883" w14:textId="77777777" w:rsidR="00924AD1" w:rsidRDefault="00924AD1" w:rsidP="00924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ED886" w14:textId="14E0E631" w:rsidR="00924AD1" w:rsidRDefault="00924AD1" w:rsidP="008A2B5A">
    <w:pPr>
      <w:pStyle w:val="Header"/>
      <w:ind w:left="-1800" w:right="-1765"/>
      <w:jc w:val="center"/>
    </w:pPr>
  </w:p>
  <w:p w14:paraId="08993AD2" w14:textId="4FB8D4A4" w:rsidR="008A2B5A" w:rsidRDefault="008A2B5A" w:rsidP="00924AD1">
    <w:pPr>
      <w:pStyle w:val="Header"/>
      <w:ind w:left="-1800" w:right="-1765"/>
    </w:pPr>
  </w:p>
  <w:p w14:paraId="00C2880D" w14:textId="31E29DEB" w:rsidR="008A2B5A" w:rsidRDefault="008A2B5A" w:rsidP="002E56AA">
    <w:pPr>
      <w:pStyle w:val="Header"/>
      <w:ind w:left="-1800" w:right="-1765" w:firstLine="807"/>
    </w:pPr>
    <w:r>
      <w:rPr>
        <w:noProof/>
        <w:lang w:val="en-IE" w:eastAsia="en-IE"/>
      </w:rPr>
      <w:drawing>
        <wp:inline distT="0" distB="0" distL="0" distR="0" wp14:anchorId="5DD103F4" wp14:editId="6588A229">
          <wp:extent cx="3571875" cy="883943"/>
          <wp:effectExtent l="0" t="0" r="0" b="0"/>
          <wp:docPr id="10" name="Picture 10" descr="Ollcoil na Gaillimhe/University of Galwa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jpg"/>
                  <pic:cNvPicPr/>
                </pic:nvPicPr>
                <pic:blipFill>
                  <a:blip r:embed="rId1">
                    <a:extLst>
                      <a:ext uri="{28A0092B-C50C-407E-A947-70E740481C1C}">
                        <a14:useLocalDpi xmlns:a14="http://schemas.microsoft.com/office/drawing/2010/main" val="0"/>
                      </a:ext>
                    </a:extLst>
                  </a:blip>
                  <a:stretch>
                    <a:fillRect/>
                  </a:stretch>
                </pic:blipFill>
                <pic:spPr>
                  <a:xfrm>
                    <a:off x="0" y="0"/>
                    <a:ext cx="3776913" cy="9346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823E4"/>
    <w:multiLevelType w:val="hybridMultilevel"/>
    <w:tmpl w:val="31BAFAE2"/>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xNzK0NDMzNbIwMzdQ0lEKTi0uzszPAykwrQUA/EqoliwAAAA="/>
  </w:docVars>
  <w:rsids>
    <w:rsidRoot w:val="00924AD1"/>
    <w:rsid w:val="000532C8"/>
    <w:rsid w:val="00075DB2"/>
    <w:rsid w:val="00085D1D"/>
    <w:rsid w:val="001A389A"/>
    <w:rsid w:val="00227884"/>
    <w:rsid w:val="002C0035"/>
    <w:rsid w:val="002E56AA"/>
    <w:rsid w:val="002F0D58"/>
    <w:rsid w:val="004D7E6D"/>
    <w:rsid w:val="005569AD"/>
    <w:rsid w:val="00572F31"/>
    <w:rsid w:val="00655087"/>
    <w:rsid w:val="006A3125"/>
    <w:rsid w:val="006C648D"/>
    <w:rsid w:val="006D3D9B"/>
    <w:rsid w:val="006E0A01"/>
    <w:rsid w:val="00726AE3"/>
    <w:rsid w:val="00764605"/>
    <w:rsid w:val="007A6D96"/>
    <w:rsid w:val="008041F4"/>
    <w:rsid w:val="0080717A"/>
    <w:rsid w:val="008A2B5A"/>
    <w:rsid w:val="00924AD1"/>
    <w:rsid w:val="00A14911"/>
    <w:rsid w:val="00A441CE"/>
    <w:rsid w:val="00A846C7"/>
    <w:rsid w:val="00AE75A1"/>
    <w:rsid w:val="00B97993"/>
    <w:rsid w:val="00CB3812"/>
    <w:rsid w:val="00DB104B"/>
    <w:rsid w:val="00DE70A2"/>
    <w:rsid w:val="00E20509"/>
    <w:rsid w:val="00E51121"/>
    <w:rsid w:val="00E97DDD"/>
    <w:rsid w:val="00FA5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7ED852"/>
  <w15:docId w15:val="{624926BB-B9BD-45AE-BC29-A77130B1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2B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2B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A2B5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AD1"/>
    <w:pPr>
      <w:tabs>
        <w:tab w:val="center" w:pos="4320"/>
        <w:tab w:val="right" w:pos="8640"/>
      </w:tabs>
    </w:pPr>
  </w:style>
  <w:style w:type="character" w:customStyle="1" w:styleId="HeaderChar">
    <w:name w:val="Header Char"/>
    <w:basedOn w:val="DefaultParagraphFont"/>
    <w:link w:val="Header"/>
    <w:uiPriority w:val="99"/>
    <w:rsid w:val="00924AD1"/>
  </w:style>
  <w:style w:type="paragraph" w:styleId="Footer">
    <w:name w:val="footer"/>
    <w:basedOn w:val="Normal"/>
    <w:link w:val="FooterChar"/>
    <w:uiPriority w:val="99"/>
    <w:unhideWhenUsed/>
    <w:rsid w:val="00924AD1"/>
    <w:pPr>
      <w:tabs>
        <w:tab w:val="center" w:pos="4320"/>
        <w:tab w:val="right" w:pos="8640"/>
      </w:tabs>
    </w:pPr>
  </w:style>
  <w:style w:type="character" w:customStyle="1" w:styleId="FooterChar">
    <w:name w:val="Footer Char"/>
    <w:basedOn w:val="DefaultParagraphFont"/>
    <w:link w:val="Footer"/>
    <w:uiPriority w:val="99"/>
    <w:rsid w:val="00924AD1"/>
  </w:style>
  <w:style w:type="paragraph" w:styleId="BalloonText">
    <w:name w:val="Balloon Text"/>
    <w:basedOn w:val="Normal"/>
    <w:link w:val="BalloonTextChar"/>
    <w:uiPriority w:val="99"/>
    <w:semiHidden/>
    <w:unhideWhenUsed/>
    <w:rsid w:val="00924A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AD1"/>
    <w:rPr>
      <w:rFonts w:ascii="Lucida Grande" w:hAnsi="Lucida Grande" w:cs="Lucida Grande"/>
      <w:sz w:val="18"/>
      <w:szCs w:val="18"/>
    </w:rPr>
  </w:style>
  <w:style w:type="table" w:styleId="TableGrid">
    <w:name w:val="Table Grid"/>
    <w:basedOn w:val="TableNormal"/>
    <w:uiPriority w:val="59"/>
    <w:rsid w:val="001A389A"/>
    <w:rPr>
      <w:rFonts w:eastAsiaTheme="minorHAns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389A"/>
    <w:rPr>
      <w:color w:val="0000FF" w:themeColor="hyperlink"/>
      <w:u w:val="single"/>
    </w:rPr>
  </w:style>
  <w:style w:type="character" w:styleId="CommentReference">
    <w:name w:val="annotation reference"/>
    <w:basedOn w:val="DefaultParagraphFont"/>
    <w:uiPriority w:val="99"/>
    <w:semiHidden/>
    <w:unhideWhenUsed/>
    <w:rsid w:val="001A389A"/>
    <w:rPr>
      <w:sz w:val="16"/>
      <w:szCs w:val="16"/>
    </w:rPr>
  </w:style>
  <w:style w:type="paragraph" w:styleId="CommentText">
    <w:name w:val="annotation text"/>
    <w:basedOn w:val="Normal"/>
    <w:link w:val="CommentTextChar"/>
    <w:uiPriority w:val="99"/>
    <w:semiHidden/>
    <w:unhideWhenUsed/>
    <w:rsid w:val="001A389A"/>
    <w:pPr>
      <w:spacing w:after="200"/>
    </w:pPr>
    <w:rPr>
      <w:rFonts w:eastAsiaTheme="minorHAnsi"/>
      <w:sz w:val="20"/>
      <w:szCs w:val="20"/>
      <w:lang w:val="en-IE"/>
    </w:rPr>
  </w:style>
  <w:style w:type="character" w:customStyle="1" w:styleId="CommentTextChar">
    <w:name w:val="Comment Text Char"/>
    <w:basedOn w:val="DefaultParagraphFont"/>
    <w:link w:val="CommentText"/>
    <w:uiPriority w:val="99"/>
    <w:semiHidden/>
    <w:rsid w:val="001A389A"/>
    <w:rPr>
      <w:rFonts w:eastAsiaTheme="minorHAnsi"/>
      <w:sz w:val="20"/>
      <w:szCs w:val="20"/>
      <w:lang w:val="en-IE"/>
    </w:rPr>
  </w:style>
  <w:style w:type="paragraph" w:styleId="ListParagraph">
    <w:name w:val="List Paragraph"/>
    <w:basedOn w:val="Normal"/>
    <w:uiPriority w:val="34"/>
    <w:qFormat/>
    <w:rsid w:val="002C0035"/>
    <w:pPr>
      <w:ind w:left="720"/>
      <w:contextualSpacing/>
    </w:pPr>
  </w:style>
  <w:style w:type="character" w:customStyle="1" w:styleId="Heading1Char">
    <w:name w:val="Heading 1 Char"/>
    <w:basedOn w:val="DefaultParagraphFont"/>
    <w:link w:val="Heading1"/>
    <w:uiPriority w:val="9"/>
    <w:rsid w:val="008A2B5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A2B5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A2B5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versityofgalway.ie/exams/policies-procedur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niversityofgalway.ie/student-adviso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fc988d4-577e-42e9-9b2a-2c85a526e1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4334E90161F04FBC841F5562821D8D" ma:contentTypeVersion="18" ma:contentTypeDescription="Create a new document." ma:contentTypeScope="" ma:versionID="910f8bf906f568aaff2b25b16b9a1d30">
  <xsd:schema xmlns:xsd="http://www.w3.org/2001/XMLSchema" xmlns:xs="http://www.w3.org/2001/XMLSchema" xmlns:p="http://schemas.microsoft.com/office/2006/metadata/properties" xmlns:ns3="4fc988d4-577e-42e9-9b2a-2c85a526e18d" xmlns:ns4="405233e3-2b02-4cc3-b510-aa513db20907" targetNamespace="http://schemas.microsoft.com/office/2006/metadata/properties" ma:root="true" ma:fieldsID="26e16b366c892c4e98fa1bbe85fa7b2c" ns3:_="" ns4:_="">
    <xsd:import namespace="4fc988d4-577e-42e9-9b2a-2c85a526e18d"/>
    <xsd:import namespace="405233e3-2b02-4cc3-b510-aa513db209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988d4-577e-42e9-9b2a-2c85a526e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233e3-2b02-4cc3-b510-aa513db209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616DA-3826-4EA6-8B6F-E88FB0DCF6E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05233e3-2b02-4cc3-b510-aa513db20907"/>
    <ds:schemaRef ds:uri="http://purl.org/dc/terms/"/>
    <ds:schemaRef ds:uri="http://schemas.openxmlformats.org/package/2006/metadata/core-properties"/>
    <ds:schemaRef ds:uri="4fc988d4-577e-42e9-9b2a-2c85a526e18d"/>
    <ds:schemaRef ds:uri="http://www.w3.org/XML/1998/namespace"/>
    <ds:schemaRef ds:uri="http://purl.org/dc/dcmitype/"/>
  </ds:schemaRefs>
</ds:datastoreItem>
</file>

<file path=customXml/itemProps2.xml><?xml version="1.0" encoding="utf-8"?>
<ds:datastoreItem xmlns:ds="http://schemas.openxmlformats.org/officeDocument/2006/customXml" ds:itemID="{A303913A-FD1B-4324-99E1-1D3417C355A0}">
  <ds:schemaRefs>
    <ds:schemaRef ds:uri="http://schemas.microsoft.com/sharepoint/v3/contenttype/forms"/>
  </ds:schemaRefs>
</ds:datastoreItem>
</file>

<file path=customXml/itemProps3.xml><?xml version="1.0" encoding="utf-8"?>
<ds:datastoreItem xmlns:ds="http://schemas.openxmlformats.org/officeDocument/2006/customXml" ds:itemID="{A490923D-CA68-46B4-8B34-2FCAAFD40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988d4-577e-42e9-9b2a-2c85a526e18d"/>
    <ds:schemaRef ds:uri="405233e3-2b02-4cc3-b510-aa513db20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2</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Allenimac1</dc:creator>
  <cp:keywords/>
  <dc:description/>
  <cp:lastModifiedBy>Ennis, Jane</cp:lastModifiedBy>
  <cp:revision>8</cp:revision>
  <dcterms:created xsi:type="dcterms:W3CDTF">2024-04-19T09:03:00Z</dcterms:created>
  <dcterms:modified xsi:type="dcterms:W3CDTF">2024-08-14T11:14:00Z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0x010100124334E90161F04FBC841F5562821D8D</vt:lpwstr>
  </property>
</Properties>
</file>